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14:paraId="2C76A715">
      <w:pPr>
        <w:keepNext w:val="0"/>
        <w:keepLines w:val="0"/>
        <w:pageBreakBefore w:val="0"/>
        <w:widowControl w:val="0"/>
        <w:kinsoku/>
        <w:wordWrap/>
        <w:overflowPunct/>
        <w:topLinePunct w:val="0"/>
        <w:autoSpaceDE/>
        <w:autoSpaceDN/>
        <w:bidi w:val="0"/>
        <w:adjustRightInd/>
        <w:snapToGrid/>
        <w:spacing w:line="1400" w:lineRule="exact"/>
        <w:jc w:val="both"/>
        <w:textAlignment w:val="auto"/>
        <w:outlineLvl w:val="0"/>
        <w:rPr>
          <w:rFonts w:hint="eastAsia" w:ascii="方正小标宋简体" w:hAnsi="黑体" w:eastAsia="方正小标宋简体" w:cs="黑体"/>
          <w:b w:val="0"/>
          <w:bCs/>
          <w:color w:val="auto"/>
          <w:sz w:val="60"/>
          <w:szCs w:val="60"/>
        </w:rPr>
      </w:pPr>
      <w:bookmarkStart w:id="0" w:name="_Toc31426"/>
      <w:bookmarkStart w:id="1" w:name="_Toc15094"/>
    </w:p>
    <w:p w14:paraId="2CA1BA47">
      <w:pPr>
        <w:keepNext w:val="0"/>
        <w:keepLines w:val="0"/>
        <w:pageBreakBefore w:val="0"/>
        <w:widowControl w:val="0"/>
        <w:kinsoku/>
        <w:wordWrap/>
        <w:overflowPunct/>
        <w:topLinePunct w:val="0"/>
        <w:autoSpaceDE/>
        <w:autoSpaceDN/>
        <w:bidi w:val="0"/>
        <w:adjustRightInd/>
        <w:snapToGrid/>
        <w:spacing w:line="900" w:lineRule="exact"/>
        <w:jc w:val="center"/>
        <w:textAlignment w:val="auto"/>
        <w:outlineLvl w:val="0"/>
        <w:rPr>
          <w:rFonts w:hint="eastAsia" w:ascii="方正小标宋简体" w:hAnsi="黑体" w:eastAsia="方正小标宋简体" w:cs="黑体"/>
          <w:b w:val="0"/>
          <w:bCs/>
          <w:color w:val="auto"/>
          <w:sz w:val="60"/>
          <w:szCs w:val="60"/>
        </w:rPr>
      </w:pPr>
      <w:r>
        <w:rPr>
          <w:rFonts w:hint="eastAsia" w:ascii="方正小标宋简体" w:hAnsi="黑体" w:eastAsia="方正小标宋简体" w:cs="黑体"/>
          <w:b w:val="0"/>
          <w:bCs/>
          <w:color w:val="auto"/>
          <w:sz w:val="60"/>
          <w:szCs w:val="60"/>
        </w:rPr>
        <w:t>运城市“十四五”</w:t>
      </w:r>
    </w:p>
    <w:p w14:paraId="4593BA6C">
      <w:pPr>
        <w:keepNext w:val="0"/>
        <w:keepLines w:val="0"/>
        <w:pageBreakBefore w:val="0"/>
        <w:widowControl w:val="0"/>
        <w:kinsoku/>
        <w:wordWrap/>
        <w:overflowPunct/>
        <w:topLinePunct w:val="0"/>
        <w:autoSpaceDE/>
        <w:autoSpaceDN/>
        <w:bidi w:val="0"/>
        <w:adjustRightInd/>
        <w:snapToGrid/>
        <w:spacing w:line="900" w:lineRule="exact"/>
        <w:jc w:val="center"/>
        <w:textAlignment w:val="auto"/>
        <w:outlineLvl w:val="0"/>
        <w:rPr>
          <w:rFonts w:ascii="方正小标宋简体" w:hAnsi="黑体" w:eastAsia="方正小标宋简体" w:cs="黑体"/>
          <w:b w:val="0"/>
          <w:bCs/>
          <w:color w:val="auto"/>
          <w:sz w:val="60"/>
          <w:szCs w:val="60"/>
        </w:rPr>
      </w:pPr>
      <w:r>
        <w:rPr>
          <w:rFonts w:hint="eastAsia" w:ascii="方正小标宋简体" w:hAnsi="黑体" w:eastAsia="方正小标宋简体" w:cs="黑体"/>
          <w:b w:val="0"/>
          <w:bCs/>
          <w:color w:val="auto"/>
          <w:sz w:val="60"/>
          <w:szCs w:val="60"/>
        </w:rPr>
        <w:t>农业农村现代化发展规划</w:t>
      </w:r>
      <w:bookmarkEnd w:id="0"/>
      <w:bookmarkEnd w:id="1"/>
    </w:p>
    <w:p w14:paraId="6CDCF8B4">
      <w:pPr>
        <w:pStyle w:val="10"/>
        <w:keepNext w:val="0"/>
        <w:keepLines w:val="0"/>
        <w:pageBreakBefore w:val="0"/>
        <w:widowControl w:val="0"/>
        <w:kinsoku/>
        <w:wordWrap/>
        <w:overflowPunct/>
        <w:topLinePunct w:val="0"/>
        <w:autoSpaceDE/>
        <w:autoSpaceDN/>
        <w:bidi w:val="0"/>
        <w:adjustRightInd/>
        <w:snapToGrid/>
        <w:spacing w:line="480" w:lineRule="exact"/>
        <w:ind w:left="0" w:firstLine="883" w:firstLineChars="200"/>
        <w:jc w:val="center"/>
        <w:textAlignment w:val="auto"/>
        <w:rPr>
          <w:rFonts w:ascii="仿宋" w:hAnsi="仿宋" w:eastAsia="仿宋" w:cs="仿宋"/>
          <w:b/>
          <w:color w:val="auto"/>
          <w:sz w:val="44"/>
          <w:szCs w:val="44"/>
          <w:lang w:val="en-US"/>
        </w:rPr>
      </w:pPr>
    </w:p>
    <w:p w14:paraId="747DE203">
      <w:pPr>
        <w:pStyle w:val="10"/>
        <w:ind w:left="0" w:firstLine="883" w:firstLineChars="200"/>
        <w:jc w:val="center"/>
        <w:rPr>
          <w:rFonts w:ascii="仿宋" w:hAnsi="仿宋" w:eastAsia="仿宋" w:cs="仿宋"/>
          <w:b/>
          <w:color w:val="auto"/>
          <w:sz w:val="44"/>
          <w:szCs w:val="44"/>
          <w:lang w:val="en-US"/>
        </w:rPr>
      </w:pPr>
    </w:p>
    <w:p w14:paraId="006BD68F">
      <w:pPr>
        <w:pStyle w:val="10"/>
        <w:ind w:left="0" w:firstLine="883" w:firstLineChars="200"/>
        <w:jc w:val="center"/>
        <w:rPr>
          <w:rFonts w:ascii="仿宋" w:hAnsi="仿宋" w:eastAsia="仿宋" w:cs="仿宋"/>
          <w:b/>
          <w:color w:val="auto"/>
          <w:sz w:val="44"/>
          <w:szCs w:val="44"/>
          <w:lang w:val="en-US"/>
        </w:rPr>
      </w:pPr>
    </w:p>
    <w:p w14:paraId="1C6C60DD">
      <w:pPr>
        <w:pStyle w:val="10"/>
        <w:ind w:left="0" w:firstLine="883" w:firstLineChars="200"/>
        <w:jc w:val="center"/>
        <w:rPr>
          <w:rFonts w:ascii="仿宋" w:hAnsi="仿宋" w:eastAsia="仿宋" w:cs="仿宋"/>
          <w:b/>
          <w:color w:val="auto"/>
          <w:sz w:val="44"/>
          <w:szCs w:val="44"/>
          <w:lang w:val="en-US"/>
        </w:rPr>
      </w:pPr>
    </w:p>
    <w:p w14:paraId="7065A64C">
      <w:pPr>
        <w:pStyle w:val="10"/>
        <w:ind w:left="0" w:firstLine="883" w:firstLineChars="200"/>
        <w:jc w:val="center"/>
        <w:rPr>
          <w:rFonts w:ascii="仿宋" w:hAnsi="仿宋" w:eastAsia="仿宋" w:cs="仿宋"/>
          <w:b/>
          <w:color w:val="auto"/>
          <w:sz w:val="44"/>
          <w:szCs w:val="44"/>
          <w:lang w:val="en-US"/>
        </w:rPr>
      </w:pPr>
    </w:p>
    <w:p w14:paraId="088738FB">
      <w:pPr>
        <w:pStyle w:val="10"/>
        <w:ind w:left="0" w:firstLine="883" w:firstLineChars="200"/>
        <w:jc w:val="center"/>
        <w:rPr>
          <w:rFonts w:ascii="仿宋" w:hAnsi="仿宋" w:eastAsia="仿宋" w:cs="仿宋"/>
          <w:b/>
          <w:color w:val="auto"/>
          <w:sz w:val="44"/>
          <w:szCs w:val="44"/>
          <w:lang w:val="en-US"/>
        </w:rPr>
      </w:pPr>
    </w:p>
    <w:p w14:paraId="20480F8E">
      <w:pPr>
        <w:pStyle w:val="10"/>
        <w:ind w:left="0" w:firstLine="883" w:firstLineChars="200"/>
        <w:jc w:val="center"/>
        <w:rPr>
          <w:rFonts w:ascii="仿宋" w:hAnsi="仿宋" w:eastAsia="仿宋" w:cs="仿宋"/>
          <w:b/>
          <w:color w:val="auto"/>
          <w:sz w:val="44"/>
          <w:szCs w:val="44"/>
          <w:lang w:val="en-US"/>
        </w:rPr>
      </w:pPr>
    </w:p>
    <w:p w14:paraId="09099191">
      <w:pPr>
        <w:pStyle w:val="10"/>
        <w:ind w:left="0" w:firstLine="883" w:firstLineChars="200"/>
        <w:jc w:val="center"/>
        <w:rPr>
          <w:rFonts w:ascii="仿宋" w:hAnsi="仿宋" w:eastAsia="仿宋" w:cs="仿宋"/>
          <w:b/>
          <w:color w:val="auto"/>
          <w:sz w:val="44"/>
          <w:szCs w:val="44"/>
          <w:lang w:val="en-US"/>
        </w:rPr>
      </w:pPr>
    </w:p>
    <w:p w14:paraId="73FBD773">
      <w:pPr>
        <w:pStyle w:val="10"/>
        <w:keepNext w:val="0"/>
        <w:keepLines w:val="0"/>
        <w:pageBreakBefore w:val="0"/>
        <w:widowControl w:val="0"/>
        <w:kinsoku/>
        <w:wordWrap/>
        <w:overflowPunct/>
        <w:topLinePunct w:val="0"/>
        <w:autoSpaceDE/>
        <w:autoSpaceDN/>
        <w:bidi w:val="0"/>
        <w:adjustRightInd/>
        <w:snapToGrid/>
        <w:spacing w:line="650" w:lineRule="exact"/>
        <w:ind w:left="0" w:firstLine="0" w:firstLineChars="0"/>
        <w:jc w:val="center"/>
        <w:textAlignment w:val="auto"/>
        <w:rPr>
          <w:rFonts w:hint="eastAsia" w:ascii="楷体_GB2312" w:hAnsi="楷体_GB2312" w:eastAsia="楷体_GB2312" w:cs="楷体_GB2312"/>
          <w:bCs/>
          <w:color w:val="auto"/>
          <w:sz w:val="36"/>
          <w:szCs w:val="36"/>
          <w:lang w:val="en-US"/>
        </w:rPr>
      </w:pPr>
    </w:p>
    <w:p w14:paraId="35F1A150">
      <w:pPr>
        <w:pStyle w:val="10"/>
        <w:keepNext w:val="0"/>
        <w:keepLines w:val="0"/>
        <w:pageBreakBefore w:val="0"/>
        <w:widowControl w:val="0"/>
        <w:kinsoku/>
        <w:wordWrap/>
        <w:overflowPunct/>
        <w:topLinePunct w:val="0"/>
        <w:autoSpaceDE/>
        <w:autoSpaceDN/>
        <w:bidi w:val="0"/>
        <w:adjustRightInd/>
        <w:snapToGrid/>
        <w:spacing w:line="650" w:lineRule="exact"/>
        <w:ind w:left="0" w:firstLine="0" w:firstLineChars="0"/>
        <w:jc w:val="center"/>
        <w:textAlignment w:val="auto"/>
        <w:rPr>
          <w:rFonts w:hint="default" w:ascii="楷体_GB2312" w:hAnsi="楷体_GB2312" w:eastAsia="楷体_GB2312" w:cs="楷体_GB2312"/>
          <w:bCs/>
          <w:color w:val="auto"/>
          <w:sz w:val="36"/>
          <w:szCs w:val="36"/>
          <w:lang w:val="en-US"/>
        </w:rPr>
      </w:pPr>
      <w:r>
        <w:rPr>
          <w:rFonts w:hint="eastAsia" w:ascii="楷体_GB2312" w:hAnsi="楷体_GB2312" w:eastAsia="楷体_GB2312" w:cs="楷体_GB2312"/>
          <w:bCs/>
          <w:color w:val="auto"/>
          <w:sz w:val="36"/>
          <w:szCs w:val="36"/>
          <w:lang w:val="en-US"/>
        </w:rPr>
        <w:t>运城市</w:t>
      </w:r>
      <w:r>
        <w:rPr>
          <w:rFonts w:hint="eastAsia" w:ascii="楷体_GB2312" w:hAnsi="楷体_GB2312" w:eastAsia="楷体_GB2312" w:cs="楷体_GB2312"/>
          <w:bCs/>
          <w:color w:val="auto"/>
          <w:sz w:val="36"/>
          <w:szCs w:val="36"/>
          <w:lang w:val="en-US" w:eastAsia="zh-CN"/>
        </w:rPr>
        <w:t>人民政府</w:t>
      </w:r>
    </w:p>
    <w:p w14:paraId="7DA5102A">
      <w:pPr>
        <w:adjustRightInd w:val="0"/>
        <w:snapToGrid w:val="0"/>
        <w:spacing w:line="560" w:lineRule="exact"/>
        <w:jc w:val="center"/>
        <w:rPr>
          <w:rFonts w:hint="eastAsia" w:ascii="楷体_GB2312" w:hAnsi="楷体_GB2312" w:eastAsia="楷体_GB2312" w:cs="楷体_GB2312"/>
          <w:b w:val="0"/>
          <w:bCs w:val="0"/>
          <w:color w:val="auto"/>
          <w:sz w:val="36"/>
          <w:szCs w:val="36"/>
        </w:rPr>
        <w:sectPr>
          <w:pgSz w:w="11906" w:h="16838"/>
          <w:pgMar w:top="1871" w:right="1531" w:bottom="1871" w:left="1531" w:header="851" w:footer="992" w:gutter="0"/>
          <w:pgNumType w:fmt="decimal"/>
          <w:cols w:space="425" w:num="1"/>
          <w:docGrid w:type="lines" w:linePitch="312" w:charSpace="0"/>
        </w:sectPr>
      </w:pPr>
      <w:r>
        <w:rPr>
          <w:rFonts w:hint="eastAsia" w:ascii="楷体_GB2312" w:hAnsi="楷体_GB2312" w:eastAsia="楷体_GB2312" w:cs="楷体_GB2312"/>
          <w:b w:val="0"/>
          <w:bCs/>
          <w:color w:val="auto"/>
          <w:sz w:val="36"/>
          <w:szCs w:val="36"/>
          <w:lang w:val="en-US" w:eastAsia="zh-CN" w:bidi="zh-CN"/>
        </w:rPr>
        <w:t>2022</w:t>
      </w:r>
      <w:r>
        <w:rPr>
          <w:rFonts w:hint="default" w:ascii="Times New Roman" w:hAnsi="Times New Roman" w:eastAsia="楷体_GB2312" w:cs="Times New Roman"/>
          <w:b w:val="0"/>
          <w:bCs w:val="0"/>
          <w:color w:val="auto"/>
          <w:sz w:val="36"/>
          <w:szCs w:val="36"/>
        </w:rPr>
        <w:t>年</w:t>
      </w:r>
    </w:p>
    <w:p w14:paraId="494C6913">
      <w:pPr>
        <w:pStyle w:val="10"/>
        <w:ind w:firstLine="600" w:firstLineChars="200"/>
        <w:rPr>
          <w:rFonts w:ascii="仿宋" w:hAnsi="仿宋" w:eastAsia="仿宋" w:cs="仿宋"/>
          <w:color w:val="auto"/>
          <w:sz w:val="30"/>
          <w:szCs w:val="30"/>
          <w:lang w:val="en-US"/>
        </w:rPr>
      </w:pPr>
    </w:p>
    <w:p w14:paraId="41A43DAC">
      <w:pPr>
        <w:pStyle w:val="10"/>
        <w:ind w:left="0" w:firstLine="883" w:firstLineChars="200"/>
        <w:jc w:val="center"/>
        <w:rPr>
          <w:rFonts w:ascii="仿宋" w:hAnsi="仿宋" w:eastAsia="仿宋" w:cs="仿宋"/>
          <w:b/>
          <w:color w:val="auto"/>
          <w:sz w:val="44"/>
          <w:szCs w:val="44"/>
          <w:lang w:val="en-US"/>
        </w:rPr>
      </w:pPr>
    </w:p>
    <w:p w14:paraId="5089CA28">
      <w:pPr>
        <w:pStyle w:val="10"/>
        <w:ind w:left="0" w:firstLine="883" w:firstLineChars="200"/>
        <w:jc w:val="center"/>
        <w:rPr>
          <w:rFonts w:ascii="仿宋" w:hAnsi="仿宋" w:eastAsia="仿宋" w:cs="仿宋"/>
          <w:b/>
          <w:color w:val="auto"/>
          <w:sz w:val="44"/>
          <w:szCs w:val="44"/>
          <w:lang w:val="en-US"/>
        </w:rPr>
        <w:sectPr>
          <w:footerReference r:id="rId5" w:type="default"/>
          <w:pgSz w:w="11849" w:h="16838"/>
          <w:pgMar w:top="1871" w:right="1531" w:bottom="1871" w:left="1531" w:header="851" w:footer="1417" w:gutter="0"/>
          <w:pgNumType w:fmt="decimal" w:start="1"/>
          <w:cols w:space="0" w:num="1"/>
          <w:rtlGutter w:val="0"/>
          <w:docGrid w:type="lines" w:linePitch="312" w:charSpace="0"/>
        </w:sectPr>
      </w:pPr>
    </w:p>
    <w:p w14:paraId="7BE84F6F">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jc w:val="center"/>
        <w:textAlignment w:val="auto"/>
        <w:rPr>
          <w:rFonts w:hint="eastAsia" w:ascii="黑体" w:hAnsi="黑体" w:eastAsia="黑体" w:cs="黑体"/>
          <w:color w:val="auto"/>
          <w:sz w:val="44"/>
          <w:szCs w:val="52"/>
        </w:rPr>
      </w:pPr>
    </w:p>
    <w:p w14:paraId="3783EE30">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jc w:val="center"/>
        <w:textAlignment w:val="auto"/>
        <w:rPr>
          <w:rFonts w:hint="eastAsia" w:ascii="黑体" w:hAnsi="黑体" w:eastAsia="黑体" w:cs="黑体"/>
          <w:color w:val="auto"/>
          <w:sz w:val="44"/>
          <w:szCs w:val="52"/>
        </w:rPr>
      </w:pPr>
      <w:r>
        <w:rPr>
          <w:rFonts w:hint="eastAsia" w:ascii="黑体" w:hAnsi="黑体" w:eastAsia="黑体" w:cs="黑体"/>
          <w:color w:val="auto"/>
          <w:sz w:val="44"/>
          <w:szCs w:val="52"/>
        </w:rPr>
        <w:t>目</w:t>
      </w:r>
      <w:r>
        <w:rPr>
          <w:rFonts w:hint="eastAsia" w:ascii="黑体" w:hAnsi="黑体" w:eastAsia="黑体" w:cs="黑体"/>
          <w:color w:val="auto"/>
          <w:sz w:val="44"/>
          <w:szCs w:val="52"/>
          <w:lang w:val="en-US" w:eastAsia="zh-CN"/>
        </w:rPr>
        <w:t xml:space="preserve">  </w:t>
      </w:r>
      <w:r>
        <w:rPr>
          <w:rFonts w:hint="eastAsia" w:ascii="黑体" w:hAnsi="黑体" w:eastAsia="黑体" w:cs="黑体"/>
          <w:color w:val="auto"/>
          <w:sz w:val="44"/>
          <w:szCs w:val="52"/>
        </w:rPr>
        <w:t>录</w:t>
      </w:r>
    </w:p>
    <w:p w14:paraId="195058F9">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jc w:val="center"/>
        <w:textAlignment w:val="auto"/>
        <w:rPr>
          <w:rFonts w:hint="eastAsia" w:ascii="黑体" w:hAnsi="黑体" w:eastAsia="黑体" w:cs="黑体"/>
          <w:color w:val="auto"/>
          <w:sz w:val="44"/>
          <w:szCs w:val="52"/>
        </w:rPr>
      </w:pPr>
    </w:p>
    <w:p w14:paraId="0ED49A2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第一章   规划背景</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rPr>
        <w:t>1</w:t>
      </w:r>
    </w:p>
    <w:p w14:paraId="3C528A2B">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一、规划背景</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w:t>
      </w:r>
    </w:p>
    <w:p w14:paraId="120FA74D">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二、“十三五”农业农村发展主要成就</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2</w:t>
      </w:r>
    </w:p>
    <w:p w14:paraId="3D90E52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三、问题与挑战</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6</w:t>
      </w:r>
    </w:p>
    <w:p w14:paraId="4371812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四、发展机遇</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p>
    <w:p w14:paraId="3CDB0F30">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仿宋_GB2312" w:hAnsi="仿宋_GB2312" w:eastAsia="仿宋_GB2312" w:cs="仿宋_GB2312"/>
          <w:color w:val="auto"/>
          <w:sz w:val="32"/>
          <w:szCs w:val="32"/>
        </w:rPr>
      </w:pPr>
      <w:r>
        <w:rPr>
          <w:rFonts w:hint="eastAsia" w:ascii="黑体" w:hAnsi="黑体" w:eastAsia="黑体" w:cs="黑体"/>
          <w:color w:val="auto"/>
          <w:sz w:val="32"/>
          <w:szCs w:val="32"/>
        </w:rPr>
        <w:t>第二章  总体要求</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rPr>
        <w:t>11</w:t>
      </w:r>
    </w:p>
    <w:p w14:paraId="2479BC59">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一、指导思想</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11</w:t>
      </w:r>
    </w:p>
    <w:p w14:paraId="50953D2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二、基本原则</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12</w:t>
      </w:r>
    </w:p>
    <w:p w14:paraId="553860AC">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三、发展定位</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14</w:t>
      </w:r>
    </w:p>
    <w:p w14:paraId="45B6004D">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四、发展目标</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15</w:t>
      </w:r>
    </w:p>
    <w:p w14:paraId="3E5F3DF0">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Times New Roman" w:hAnsi="Times New Roman" w:eastAsia="仿宋_GB2312" w:cs="仿宋_GB2312"/>
          <w:color w:val="auto"/>
          <w:sz w:val="32"/>
          <w:szCs w:val="32"/>
        </w:rPr>
      </w:pPr>
      <w:r>
        <w:rPr>
          <w:rFonts w:hint="eastAsia" w:ascii="黑体" w:hAnsi="黑体" w:eastAsia="黑体" w:cs="黑体"/>
          <w:color w:val="auto"/>
          <w:sz w:val="32"/>
          <w:szCs w:val="32"/>
        </w:rPr>
        <w:t>第三章  推进现代农业高质量发展</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rPr>
        <w:t>21</w:t>
      </w:r>
    </w:p>
    <w:p w14:paraId="034B544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第一节  构建现代农业高质量发展新格局</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21</w:t>
      </w:r>
    </w:p>
    <w:p w14:paraId="5B9FBCD4">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第二节  建立特优农业产业体系</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27</w:t>
      </w:r>
    </w:p>
    <w:p w14:paraId="64C94B98">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Times New Roman" w:hAnsi="Times New Roman" w:eastAsia="仿宋_GB2312" w:cs="仿宋_GB2312"/>
          <w:color w:val="auto"/>
          <w:sz w:val="32"/>
          <w:szCs w:val="32"/>
          <w:lang w:val="en-US" w:eastAsia="zh-CN"/>
        </w:rPr>
      </w:pPr>
      <w:r>
        <w:rPr>
          <w:rFonts w:hint="eastAsia" w:ascii="仿宋_GB2312" w:hAnsi="仿宋_GB2312" w:eastAsia="仿宋_GB2312" w:cs="仿宋_GB2312"/>
          <w:color w:val="auto"/>
          <w:sz w:val="32"/>
          <w:szCs w:val="32"/>
        </w:rPr>
        <w:t>第三节  提升打造现代农业生产体系</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val="en-US" w:eastAsia="zh-CN"/>
        </w:rPr>
        <w:t>41</w:t>
      </w:r>
    </w:p>
    <w:p w14:paraId="04B60546">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Times New Roman" w:hAnsi="Times New Roman" w:eastAsia="仿宋_GB2312" w:cs="仿宋_GB2312"/>
          <w:color w:val="auto"/>
          <w:sz w:val="32"/>
          <w:szCs w:val="32"/>
        </w:rPr>
      </w:pPr>
      <w:r>
        <w:rPr>
          <w:rFonts w:hint="eastAsia" w:ascii="仿宋_GB2312" w:hAnsi="仿宋_GB2312" w:eastAsia="仿宋_GB2312" w:cs="仿宋_GB2312"/>
          <w:color w:val="auto"/>
          <w:sz w:val="32"/>
          <w:szCs w:val="32"/>
        </w:rPr>
        <w:t>第四节  创新农业经营体系</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val="en-US" w:eastAsia="zh-CN"/>
        </w:rPr>
        <w:t>51</w:t>
      </w:r>
    </w:p>
    <w:p w14:paraId="02EF02D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第五节  打造特色农产品品牌</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val="en-US" w:eastAsia="zh-CN"/>
        </w:rPr>
        <w:t>6</w:t>
      </w:r>
    </w:p>
    <w:p w14:paraId="1B9DD148">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第六节  推进</w:t>
      </w:r>
      <w:r>
        <w:rPr>
          <w:rFonts w:hint="eastAsia" w:ascii="仿宋_GB2312" w:hAnsi="仿宋_GB2312" w:eastAsia="仿宋_GB2312" w:cs="仿宋_GB2312"/>
          <w:color w:val="auto"/>
          <w:sz w:val="32"/>
          <w:szCs w:val="32"/>
          <w:lang w:eastAsia="zh-CN"/>
        </w:rPr>
        <w:t>乡</w:t>
      </w:r>
      <w:r>
        <w:rPr>
          <w:rFonts w:hint="eastAsia" w:ascii="仿宋_GB2312" w:hAnsi="仿宋_GB2312" w:eastAsia="仿宋_GB2312" w:cs="仿宋_GB2312"/>
          <w:color w:val="auto"/>
          <w:sz w:val="32"/>
          <w:szCs w:val="32"/>
        </w:rPr>
        <w:t>村产业融合发展</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eastAsia="zh-CN"/>
        </w:rPr>
        <w:t>8</w:t>
      </w:r>
    </w:p>
    <w:p w14:paraId="4A269C7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仿宋_GB2312" w:hAnsi="仿宋_GB2312" w:eastAsia="仿宋_GB2312" w:cs="仿宋_GB2312"/>
          <w:color w:val="auto"/>
          <w:sz w:val="32"/>
          <w:szCs w:val="32"/>
        </w:rPr>
        <w:sectPr>
          <w:footerReference r:id="rId6" w:type="default"/>
          <w:pgSz w:w="11849" w:h="16838"/>
          <w:pgMar w:top="1871" w:right="1531" w:bottom="1871" w:left="1531" w:header="851" w:footer="1417" w:gutter="0"/>
          <w:pgNumType w:fmt="decimal" w:start="1"/>
          <w:cols w:space="0" w:num="1"/>
          <w:rtlGutter w:val="0"/>
          <w:docGrid w:type="lines" w:linePitch="312" w:charSpace="0"/>
        </w:sectPr>
      </w:pPr>
    </w:p>
    <w:p w14:paraId="558717A0">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第七节 巩固拓展脱贫攻坚成果同乡村振兴有效衔接</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lang w:eastAsia="zh-CN"/>
        </w:rPr>
        <w:t>6</w:t>
      </w:r>
      <w:r>
        <w:rPr>
          <w:rFonts w:hint="eastAsia" w:ascii="仿宋_GB2312" w:hAnsi="仿宋_GB2312" w:eastAsia="仿宋_GB2312" w:cs="仿宋_GB2312"/>
          <w:color w:val="auto"/>
          <w:sz w:val="32"/>
          <w:szCs w:val="32"/>
          <w:lang w:val="en-US" w:eastAsia="zh-CN"/>
        </w:rPr>
        <w:t>6</w:t>
      </w:r>
    </w:p>
    <w:p w14:paraId="6911FC8D">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default" w:ascii="黑体" w:hAnsi="黑体" w:eastAsia="黑体" w:cs="黑体"/>
          <w:color w:val="auto"/>
          <w:sz w:val="32"/>
          <w:szCs w:val="32"/>
        </w:rPr>
      </w:pPr>
      <w:r>
        <w:rPr>
          <w:rFonts w:hint="eastAsia" w:ascii="黑体" w:hAnsi="黑体" w:eastAsia="黑体" w:cs="黑体"/>
          <w:color w:val="auto"/>
          <w:sz w:val="32"/>
          <w:szCs w:val="32"/>
        </w:rPr>
        <w:t>第四章   全面推进乡村建设</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lang w:eastAsia="zh-CN"/>
        </w:rPr>
        <w:t>7</w:t>
      </w:r>
      <w:r>
        <w:rPr>
          <w:rFonts w:hint="eastAsia" w:ascii="仿宋_GB2312" w:hAnsi="仿宋_GB2312" w:eastAsia="仿宋_GB2312" w:cs="仿宋_GB2312"/>
          <w:color w:val="auto"/>
          <w:sz w:val="32"/>
          <w:szCs w:val="32"/>
          <w:lang w:val="en-US" w:eastAsia="zh-CN"/>
        </w:rPr>
        <w:t>0</w:t>
      </w:r>
    </w:p>
    <w:p w14:paraId="1A943355">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楷体_GB2312" w:hAnsi="楷体_GB2312" w:eastAsia="楷体_GB2312" w:cs="楷体_GB2312"/>
          <w:color w:val="auto"/>
          <w:sz w:val="32"/>
          <w:szCs w:val="32"/>
        </w:rPr>
      </w:pPr>
      <w:r>
        <w:rPr>
          <w:rFonts w:hint="eastAsia" w:ascii="仿宋_GB2312" w:hAnsi="仿宋_GB2312" w:eastAsia="仿宋_GB2312" w:cs="仿宋_GB2312"/>
          <w:color w:val="auto"/>
          <w:sz w:val="32"/>
          <w:szCs w:val="32"/>
        </w:rPr>
        <w:t>第一节  打造乡村绿色生态环境</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lang w:eastAsia="zh-CN"/>
        </w:rPr>
        <w:t>7</w:t>
      </w:r>
      <w:r>
        <w:rPr>
          <w:rFonts w:hint="eastAsia" w:ascii="仿宋_GB2312" w:hAnsi="仿宋_GB2312" w:eastAsia="仿宋_GB2312" w:cs="仿宋_GB2312"/>
          <w:color w:val="auto"/>
          <w:sz w:val="32"/>
          <w:szCs w:val="32"/>
          <w:lang w:val="en-US" w:eastAsia="zh-CN"/>
        </w:rPr>
        <w:t>1</w:t>
      </w:r>
    </w:p>
    <w:p w14:paraId="6491FF94">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楷体_GB2312" w:hAnsi="楷体_GB2312" w:eastAsia="楷体_GB2312" w:cs="楷体_GB2312"/>
          <w:color w:val="auto"/>
          <w:sz w:val="32"/>
          <w:szCs w:val="32"/>
        </w:rPr>
      </w:pPr>
      <w:r>
        <w:rPr>
          <w:rFonts w:hint="eastAsia" w:ascii="仿宋_GB2312" w:hAnsi="仿宋_GB2312" w:eastAsia="仿宋_GB2312" w:cs="仿宋_GB2312"/>
          <w:color w:val="auto"/>
          <w:sz w:val="32"/>
          <w:szCs w:val="32"/>
        </w:rPr>
        <w:t>第二节  加大农村人居环境整治提升</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lang w:eastAsia="zh-CN"/>
        </w:rPr>
        <w:t>7</w:t>
      </w:r>
      <w:r>
        <w:rPr>
          <w:rFonts w:hint="eastAsia" w:ascii="仿宋_GB2312" w:hAnsi="仿宋_GB2312" w:eastAsia="仿宋_GB2312" w:cs="仿宋_GB2312"/>
          <w:color w:val="auto"/>
          <w:sz w:val="32"/>
          <w:szCs w:val="32"/>
          <w:lang w:val="en-US" w:eastAsia="zh-CN"/>
        </w:rPr>
        <w:t>6</w:t>
      </w:r>
    </w:p>
    <w:p w14:paraId="273EC1D9">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楷体_GB2312" w:hAnsi="楷体_GB2312" w:eastAsia="楷体_GB2312" w:cs="楷体_GB2312"/>
          <w:color w:val="auto"/>
          <w:sz w:val="32"/>
          <w:szCs w:val="32"/>
        </w:rPr>
      </w:pPr>
      <w:r>
        <w:rPr>
          <w:rFonts w:hint="eastAsia" w:ascii="仿宋_GB2312" w:hAnsi="仿宋_GB2312" w:eastAsia="仿宋_GB2312" w:cs="仿宋_GB2312"/>
          <w:color w:val="auto"/>
          <w:sz w:val="32"/>
          <w:szCs w:val="32"/>
        </w:rPr>
        <w:t>第三节  加强村镇体系建设</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lang w:eastAsia="zh-CN"/>
        </w:rPr>
        <w:t>8</w:t>
      </w:r>
      <w:r>
        <w:rPr>
          <w:rFonts w:hint="eastAsia" w:ascii="仿宋_GB2312" w:hAnsi="仿宋_GB2312" w:eastAsia="仿宋_GB2312" w:cs="仿宋_GB2312"/>
          <w:color w:val="auto"/>
          <w:sz w:val="32"/>
          <w:szCs w:val="32"/>
          <w:lang w:val="en-US" w:eastAsia="zh-CN"/>
        </w:rPr>
        <w:t>1</w:t>
      </w:r>
    </w:p>
    <w:p w14:paraId="52F7CBC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楷体_GB2312" w:hAnsi="楷体_GB2312" w:eastAsia="楷体_GB2312" w:cs="楷体_GB2312"/>
          <w:color w:val="auto"/>
          <w:sz w:val="32"/>
          <w:szCs w:val="32"/>
        </w:rPr>
      </w:pPr>
      <w:r>
        <w:rPr>
          <w:rFonts w:hint="eastAsia" w:ascii="仿宋_GB2312" w:hAnsi="仿宋_GB2312" w:eastAsia="仿宋_GB2312" w:cs="仿宋_GB2312"/>
          <w:color w:val="auto"/>
          <w:sz w:val="32"/>
          <w:szCs w:val="32"/>
        </w:rPr>
        <w:t>第四节  完善农村基础设施和公共服务体系</w:t>
      </w:r>
      <w:r>
        <w:rPr>
          <w:rFonts w:hint="eastAsia" w:ascii="楷体_GB2312" w:hAnsi="楷体_GB2312" w:eastAsia="楷体_GB2312" w:cs="楷体_GB2312"/>
          <w:color w:val="auto"/>
          <w:sz w:val="32"/>
          <w:szCs w:val="32"/>
        </w:rPr>
        <w:tab/>
      </w:r>
      <w:r>
        <w:rPr>
          <w:rFonts w:hint="eastAsia" w:ascii="仿宋_GB2312" w:hAnsi="仿宋_GB2312" w:eastAsia="仿宋_GB2312" w:cs="仿宋_GB2312"/>
          <w:color w:val="auto"/>
          <w:sz w:val="32"/>
          <w:szCs w:val="32"/>
          <w:lang w:eastAsia="zh-CN"/>
        </w:rPr>
        <w:t>8</w:t>
      </w:r>
      <w:r>
        <w:rPr>
          <w:rFonts w:hint="eastAsia" w:ascii="仿宋_GB2312" w:hAnsi="仿宋_GB2312" w:eastAsia="仿宋_GB2312" w:cs="仿宋_GB2312"/>
          <w:color w:val="auto"/>
          <w:sz w:val="32"/>
          <w:szCs w:val="32"/>
          <w:lang w:val="en-US" w:eastAsia="zh-CN"/>
        </w:rPr>
        <w:t>5</w:t>
      </w:r>
    </w:p>
    <w:p w14:paraId="768295A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第五章   焕发乡风文明新气象</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rPr>
        <w:t>8</w:t>
      </w:r>
      <w:r>
        <w:rPr>
          <w:rFonts w:hint="eastAsia" w:ascii="仿宋_GB2312" w:hAnsi="仿宋_GB2312" w:eastAsia="仿宋_GB2312" w:cs="仿宋_GB2312"/>
          <w:color w:val="auto"/>
          <w:sz w:val="32"/>
          <w:szCs w:val="32"/>
          <w:lang w:val="en-US" w:eastAsia="zh-CN"/>
        </w:rPr>
        <w:t>9</w:t>
      </w:r>
    </w:p>
    <w:p w14:paraId="4E7172CA">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一、加强农村精神文明建设</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8</w:t>
      </w:r>
      <w:r>
        <w:rPr>
          <w:rFonts w:hint="eastAsia" w:ascii="仿宋_GB2312" w:hAnsi="仿宋_GB2312" w:eastAsia="仿宋_GB2312" w:cs="仿宋_GB2312"/>
          <w:color w:val="auto"/>
          <w:sz w:val="32"/>
          <w:szCs w:val="32"/>
          <w:lang w:val="en-US" w:eastAsia="zh-CN"/>
        </w:rPr>
        <w:t>9</w:t>
      </w:r>
    </w:p>
    <w:p w14:paraId="6B92AC18">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二、传承弘扬优秀乡土文化</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8</w:t>
      </w:r>
      <w:r>
        <w:rPr>
          <w:rFonts w:hint="eastAsia" w:ascii="仿宋_GB2312" w:hAnsi="仿宋_GB2312" w:eastAsia="仿宋_GB2312" w:cs="仿宋_GB2312"/>
          <w:color w:val="auto"/>
          <w:sz w:val="32"/>
          <w:szCs w:val="32"/>
          <w:lang w:val="en-US" w:eastAsia="zh-CN"/>
        </w:rPr>
        <w:t>9</w:t>
      </w:r>
    </w:p>
    <w:p w14:paraId="54E78C3B">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三、深入开展移风易俗行动</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val="en-US" w:eastAsia="zh-CN"/>
        </w:rPr>
        <w:t>90</w:t>
      </w:r>
    </w:p>
    <w:p w14:paraId="308F54A3">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lang w:val="en-US"/>
        </w:rPr>
      </w:pPr>
      <w:r>
        <w:rPr>
          <w:rFonts w:hint="eastAsia" w:ascii="仿宋_GB2312" w:hAnsi="仿宋_GB2312" w:eastAsia="仿宋_GB2312" w:cs="仿宋_GB2312"/>
          <w:color w:val="auto"/>
          <w:sz w:val="32"/>
          <w:szCs w:val="32"/>
        </w:rPr>
        <w:t>四、推进实施新乡贤工程</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val="en-US" w:eastAsia="zh-CN"/>
        </w:rPr>
        <w:t>91</w:t>
      </w:r>
    </w:p>
    <w:p w14:paraId="6502126D">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五、打造乡村文化生态新格局</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9</w:t>
      </w:r>
      <w:r>
        <w:rPr>
          <w:rFonts w:hint="eastAsia" w:ascii="仿宋_GB2312" w:hAnsi="仿宋_GB2312" w:eastAsia="仿宋_GB2312" w:cs="仿宋_GB2312"/>
          <w:color w:val="auto"/>
          <w:sz w:val="32"/>
          <w:szCs w:val="32"/>
          <w:lang w:val="en-US" w:eastAsia="zh-CN"/>
        </w:rPr>
        <w:t>2</w:t>
      </w:r>
    </w:p>
    <w:p w14:paraId="40565A7C">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default" w:ascii="黑体" w:hAnsi="黑体" w:eastAsia="黑体" w:cs="黑体"/>
          <w:color w:val="auto"/>
          <w:sz w:val="32"/>
          <w:szCs w:val="32"/>
        </w:rPr>
      </w:pPr>
      <w:r>
        <w:rPr>
          <w:rFonts w:hint="eastAsia" w:ascii="黑体" w:hAnsi="黑体" w:eastAsia="黑体" w:cs="黑体"/>
          <w:color w:val="auto"/>
          <w:sz w:val="32"/>
          <w:szCs w:val="32"/>
        </w:rPr>
        <w:t>第六章   加强乡村全面治理</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lang w:eastAsia="zh-CN"/>
        </w:rPr>
        <w:t>9</w:t>
      </w:r>
      <w:r>
        <w:rPr>
          <w:rFonts w:hint="eastAsia" w:ascii="仿宋_GB2312" w:hAnsi="仿宋_GB2312" w:eastAsia="仿宋_GB2312" w:cs="仿宋_GB2312"/>
          <w:color w:val="auto"/>
          <w:sz w:val="32"/>
          <w:szCs w:val="32"/>
          <w:lang w:val="en-US" w:eastAsia="zh-CN"/>
        </w:rPr>
        <w:t>3</w:t>
      </w:r>
    </w:p>
    <w:p w14:paraId="6C46006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一、加强基层党组织建设</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9</w:t>
      </w:r>
      <w:r>
        <w:rPr>
          <w:rFonts w:hint="eastAsia" w:ascii="仿宋_GB2312" w:hAnsi="仿宋_GB2312" w:eastAsia="仿宋_GB2312" w:cs="仿宋_GB2312"/>
          <w:color w:val="auto"/>
          <w:sz w:val="32"/>
          <w:szCs w:val="32"/>
          <w:lang w:val="en-US" w:eastAsia="zh-CN"/>
        </w:rPr>
        <w:t>3</w:t>
      </w:r>
    </w:p>
    <w:p w14:paraId="5C06B7E2">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二、深化村民自治管理</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9</w:t>
      </w:r>
      <w:r>
        <w:rPr>
          <w:rFonts w:hint="eastAsia" w:ascii="仿宋_GB2312" w:hAnsi="仿宋_GB2312" w:eastAsia="仿宋_GB2312" w:cs="仿宋_GB2312"/>
          <w:color w:val="auto"/>
          <w:sz w:val="32"/>
          <w:szCs w:val="32"/>
          <w:lang w:val="en-US" w:eastAsia="zh-CN"/>
        </w:rPr>
        <w:t>4</w:t>
      </w:r>
    </w:p>
    <w:p w14:paraId="56930927">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三、推进乡村法治建设</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5</w:t>
      </w:r>
    </w:p>
    <w:p w14:paraId="22B17653">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四、加强乡村德治建设</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6</w:t>
      </w:r>
    </w:p>
    <w:p w14:paraId="36DA7B45">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五、建设平安乡村</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7</w:t>
      </w:r>
    </w:p>
    <w:p w14:paraId="014F9180">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第七章   深化农村改革</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8</w:t>
      </w:r>
    </w:p>
    <w:p w14:paraId="020EBDD1">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lang w:val="en-US"/>
        </w:rPr>
      </w:pPr>
      <w:r>
        <w:rPr>
          <w:rFonts w:hint="eastAsia" w:ascii="仿宋_GB2312" w:hAnsi="仿宋_GB2312" w:eastAsia="仿宋_GB2312" w:cs="仿宋_GB2312"/>
          <w:color w:val="auto"/>
          <w:sz w:val="32"/>
          <w:szCs w:val="32"/>
        </w:rPr>
        <w:t>一、深化农村集体经济组织改革</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8</w:t>
      </w:r>
    </w:p>
    <w:p w14:paraId="5B0C6B6D">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仿宋_GB2312" w:hAnsi="仿宋_GB2312" w:eastAsia="仿宋_GB2312" w:cs="仿宋_GB2312"/>
          <w:color w:val="auto"/>
          <w:sz w:val="32"/>
          <w:szCs w:val="32"/>
        </w:rPr>
        <w:sectPr>
          <w:footerReference r:id="rId7" w:type="default"/>
          <w:pgSz w:w="11849" w:h="16838"/>
          <w:pgMar w:top="1871" w:right="1531" w:bottom="1871" w:left="1531" w:header="851" w:footer="1417" w:gutter="0"/>
          <w:pgNumType w:fmt="decimal" w:start="1"/>
          <w:cols w:space="0" w:num="1"/>
          <w:rtlGutter w:val="0"/>
          <w:docGrid w:type="lines" w:linePitch="312" w:charSpace="0"/>
        </w:sectPr>
      </w:pPr>
    </w:p>
    <w:p w14:paraId="148C48B9">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二、落实承包地“三权分置”制度</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9</w:t>
      </w:r>
    </w:p>
    <w:p w14:paraId="1BF79AA1">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三、推动农村宅基地“三权分置”改革</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val="en-US" w:eastAsia="zh-CN"/>
        </w:rPr>
        <w:t>100</w:t>
      </w:r>
    </w:p>
    <w:p w14:paraId="3E7CFE79">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四、</w:t>
      </w:r>
      <w:r>
        <w:rPr>
          <w:rFonts w:hint="eastAsia" w:ascii="仿宋_GB2312" w:hAnsi="仿宋_GB2312" w:eastAsia="仿宋_GB2312" w:cs="仿宋_GB2312"/>
          <w:color w:val="auto"/>
          <w:spacing w:val="-11"/>
          <w:sz w:val="32"/>
          <w:szCs w:val="32"/>
        </w:rPr>
        <w:t>加强农村</w:t>
      </w:r>
      <w:r>
        <w:rPr>
          <w:rFonts w:hint="eastAsia" w:ascii="仿宋_GB2312" w:hAnsi="仿宋_GB2312" w:eastAsia="仿宋_GB2312" w:cs="仿宋_GB2312"/>
          <w:color w:val="auto"/>
          <w:spacing w:val="-11"/>
          <w:sz w:val="32"/>
          <w:szCs w:val="32"/>
          <w:lang w:eastAsia="zh-CN"/>
        </w:rPr>
        <w:t>集体</w:t>
      </w:r>
      <w:r>
        <w:rPr>
          <w:rFonts w:hint="eastAsia" w:ascii="仿宋_GB2312" w:hAnsi="仿宋_GB2312" w:eastAsia="仿宋_GB2312" w:cs="仿宋_GB2312"/>
          <w:color w:val="auto"/>
          <w:spacing w:val="-11"/>
          <w:sz w:val="32"/>
          <w:szCs w:val="32"/>
        </w:rPr>
        <w:t>“三资”</w:t>
      </w:r>
      <w:r>
        <w:rPr>
          <w:rFonts w:hint="eastAsia" w:ascii="仿宋_GB2312" w:hAnsi="仿宋_GB2312" w:eastAsia="仿宋_GB2312" w:cs="仿宋_GB2312"/>
          <w:color w:val="auto"/>
          <w:spacing w:val="-11"/>
          <w:sz w:val="32"/>
          <w:szCs w:val="32"/>
          <w:lang w:eastAsia="zh-CN"/>
        </w:rPr>
        <w:t>管</w:t>
      </w:r>
      <w:r>
        <w:rPr>
          <w:rFonts w:hint="eastAsia" w:ascii="仿宋_GB2312" w:hAnsi="仿宋_GB2312" w:eastAsia="仿宋_GB2312" w:cs="仿宋_GB2312"/>
          <w:color w:val="auto"/>
          <w:spacing w:val="-11"/>
          <w:sz w:val="32"/>
          <w:szCs w:val="32"/>
        </w:rPr>
        <w:t>理和集体产权制度改革</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01</w:t>
      </w:r>
    </w:p>
    <w:p w14:paraId="06435244">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五、构建农民多重收入的形成机制</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01</w:t>
      </w:r>
    </w:p>
    <w:p w14:paraId="2E5EA41E">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六、创新金融支农服务</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02</w:t>
      </w:r>
    </w:p>
    <w:p w14:paraId="0DC8CB57">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0" w:firstLineChars="0"/>
        <w:textAlignment w:val="auto"/>
        <w:rPr>
          <w:rFonts w:hint="eastAsia" w:ascii="仿宋_GB2312" w:hAnsi="仿宋_GB2312" w:eastAsia="仿宋_GB2312" w:cs="仿宋_GB2312"/>
          <w:color w:val="auto"/>
          <w:sz w:val="32"/>
          <w:szCs w:val="32"/>
        </w:rPr>
      </w:pPr>
      <w:r>
        <w:rPr>
          <w:rFonts w:hint="eastAsia" w:ascii="黑体" w:hAnsi="黑体" w:eastAsia="黑体" w:cs="黑体"/>
          <w:color w:val="auto"/>
          <w:sz w:val="32"/>
          <w:szCs w:val="32"/>
        </w:rPr>
        <w:t>第八章   保障措施</w:t>
      </w:r>
      <w:r>
        <w:rPr>
          <w:rFonts w:hint="eastAsia" w:ascii="黑体" w:hAnsi="黑体" w:eastAsia="黑体" w:cs="黑体"/>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04</w:t>
      </w:r>
    </w:p>
    <w:p w14:paraId="16802F81">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一、强化乡村振兴人才支撑</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04</w:t>
      </w:r>
    </w:p>
    <w:p w14:paraId="7F8D1DA7">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二、健全农业农村投入机制</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04</w:t>
      </w:r>
    </w:p>
    <w:p w14:paraId="41050A8F">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三、完善农业农村法规体系</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05</w:t>
      </w:r>
    </w:p>
    <w:p w14:paraId="2067440B">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四、加强和推动区域协作</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10</w:t>
      </w:r>
      <w:r>
        <w:rPr>
          <w:rFonts w:hint="eastAsia" w:ascii="仿宋_GB2312" w:hAnsi="仿宋_GB2312" w:eastAsia="仿宋_GB2312" w:cs="仿宋_GB2312"/>
          <w:color w:val="auto"/>
          <w:sz w:val="32"/>
          <w:szCs w:val="32"/>
          <w:lang w:val="en-US" w:eastAsia="zh-CN"/>
        </w:rPr>
        <w:t>6</w:t>
      </w:r>
    </w:p>
    <w:p w14:paraId="1D555E4C">
      <w:pPr>
        <w:keepNext w:val="0"/>
        <w:keepLines w:val="0"/>
        <w:pageBreakBefore w:val="0"/>
        <w:widowControl w:val="0"/>
        <w:tabs>
          <w:tab w:val="right" w:leader="middleDot" w:pos="8400"/>
        </w:tabs>
        <w:kinsoku/>
        <w:wordWrap/>
        <w:overflowPunct/>
        <w:topLinePunct w:val="0"/>
        <w:autoSpaceDE/>
        <w:autoSpaceDN/>
        <w:bidi w:val="0"/>
        <w:adjustRightInd/>
        <w:snapToGrid/>
        <w:spacing w:line="65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五、严格考核评价</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t>10</w:t>
      </w:r>
      <w:r>
        <w:rPr>
          <w:rFonts w:hint="eastAsia" w:ascii="仿宋_GB2312" w:hAnsi="仿宋_GB2312" w:eastAsia="仿宋_GB2312" w:cs="仿宋_GB2312"/>
          <w:color w:val="auto"/>
          <w:sz w:val="32"/>
          <w:szCs w:val="32"/>
          <w:lang w:val="en-US" w:eastAsia="zh-CN"/>
        </w:rPr>
        <w:t>7</w:t>
      </w:r>
    </w:p>
    <w:p w14:paraId="112C871C">
      <w:pPr>
        <w:pStyle w:val="40"/>
        <w:keepNext w:val="0"/>
        <w:keepLines w:val="0"/>
        <w:pageBreakBefore w:val="0"/>
        <w:widowControl w:val="0"/>
        <w:tabs>
          <w:tab w:val="right" w:leader="dot" w:pos="8306"/>
        </w:tabs>
        <w:kinsoku/>
        <w:wordWrap/>
        <w:overflowPunct/>
        <w:topLinePunct w:val="0"/>
        <w:autoSpaceDE/>
        <w:autoSpaceDN/>
        <w:bidi w:val="0"/>
        <w:adjustRightInd/>
        <w:snapToGrid/>
        <w:spacing w:line="650" w:lineRule="exact"/>
        <w:ind w:left="420" w:firstLine="640" w:firstLineChars="200"/>
        <w:textAlignment w:val="auto"/>
        <w:rPr>
          <w:rFonts w:ascii="仿宋" w:hAnsi="仿宋" w:eastAsia="仿宋" w:cs="仿宋"/>
          <w:color w:val="auto"/>
          <w:sz w:val="32"/>
          <w:szCs w:val="32"/>
        </w:rPr>
      </w:pPr>
    </w:p>
    <w:p w14:paraId="16F409B2">
      <w:pPr>
        <w:spacing w:line="240" w:lineRule="auto"/>
        <w:ind w:firstLine="643" w:firstLineChars="200"/>
        <w:rPr>
          <w:rFonts w:ascii="仿宋" w:hAnsi="仿宋" w:eastAsia="仿宋" w:cs="仿宋"/>
          <w:b/>
          <w:color w:val="auto"/>
          <w:sz w:val="32"/>
          <w:szCs w:val="32"/>
        </w:rPr>
        <w:sectPr>
          <w:footerReference r:id="rId8" w:type="default"/>
          <w:pgSz w:w="11849" w:h="16838"/>
          <w:pgMar w:top="1871" w:right="1531" w:bottom="1871" w:left="1531" w:header="851" w:footer="1417" w:gutter="0"/>
          <w:pgNumType w:fmt="decimal" w:start="1"/>
          <w:cols w:space="0" w:num="1"/>
          <w:rtlGutter w:val="0"/>
          <w:docGrid w:type="lines" w:linePitch="312" w:charSpace="0"/>
        </w:sectPr>
      </w:pPr>
    </w:p>
    <w:p w14:paraId="5EEBBFD6">
      <w:pPr>
        <w:pStyle w:val="2"/>
        <w:keepNext w:val="0"/>
        <w:keepLines w:val="0"/>
        <w:pageBreakBefore w:val="0"/>
        <w:widowControl w:val="0"/>
        <w:kinsoku/>
        <w:wordWrap/>
        <w:overflowPunct/>
        <w:topLinePunct w:val="0"/>
        <w:autoSpaceDE/>
        <w:autoSpaceDN/>
        <w:bidi w:val="0"/>
        <w:spacing w:line="650" w:lineRule="exact"/>
        <w:ind w:firstLine="540"/>
        <w:textAlignment w:val="auto"/>
        <w:rPr>
          <w:color w:val="auto"/>
        </w:rPr>
      </w:pPr>
    </w:p>
    <w:p w14:paraId="482300B7">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bookmarkStart w:id="2" w:name="_Toc13724"/>
      <w:r>
        <w:rPr>
          <w:rFonts w:hint="eastAsia" w:ascii="黑体" w:hAnsi="黑体" w:eastAsia="黑体" w:cs="黑体"/>
          <w:bCs/>
          <w:color w:val="auto"/>
          <w:sz w:val="36"/>
          <w:szCs w:val="36"/>
        </w:rPr>
        <w:t>第一章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规划背景</w:t>
      </w:r>
      <w:bookmarkEnd w:id="2"/>
    </w:p>
    <w:p w14:paraId="36477359">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 xml:space="preserve"> </w:t>
      </w:r>
    </w:p>
    <w:p w14:paraId="3F2EF402">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运城市“十四五”农业农村现代化发展规划是在习近平新时代中国特色社会主义思想指导下，围绕乡村振兴战略和建设现代农业强市的目标任务，着力“抓重点、补短板、强弱项”，按照农业“特”“优”战略和城乡融合发展的新要求，以</w:t>
      </w:r>
      <w:r>
        <w:rPr>
          <w:rFonts w:hint="eastAsia" w:ascii="仿宋_GB2312" w:eastAsia="仿宋_GB2312"/>
          <w:color w:val="auto"/>
          <w:sz w:val="32"/>
          <w:szCs w:val="32"/>
          <w:u w:val="none"/>
          <w:lang w:eastAsia="zh-CN"/>
        </w:rPr>
        <w:t>“</w:t>
      </w:r>
      <w:r>
        <w:rPr>
          <w:rFonts w:hint="default" w:ascii="Times New Roman" w:hAnsi="Times New Roman" w:eastAsia="仿宋_GB2312" w:cs="Times New Roman"/>
          <w:b w:val="0"/>
          <w:bCs w:val="0"/>
          <w:color w:val="auto"/>
          <w:spacing w:val="-6"/>
          <w:sz w:val="32"/>
          <w:szCs w:val="32"/>
          <w:u w:val="none"/>
        </w:rPr>
        <w:t>绿色化</w:t>
      </w:r>
      <w:r>
        <w:rPr>
          <w:rFonts w:hint="default" w:ascii="Times New Roman" w:hAnsi="Times New Roman" w:eastAsia="仿宋_GB2312" w:cs="Times New Roman"/>
          <w:color w:val="auto"/>
          <w:spacing w:val="-6"/>
          <w:sz w:val="32"/>
          <w:szCs w:val="32"/>
          <w:u w:val="none"/>
        </w:rPr>
        <w:t>、特色化、品牌化、集群化、融合化</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的</w:t>
      </w:r>
      <w:r>
        <w:rPr>
          <w:rFonts w:hint="eastAsia" w:ascii="仿宋_GB2312" w:eastAsia="仿宋_GB2312"/>
          <w:color w:val="auto"/>
          <w:sz w:val="32"/>
          <w:szCs w:val="32"/>
          <w:u w:val="none"/>
          <w:lang w:eastAsia="zh-CN"/>
        </w:rPr>
        <w:t>发展思路</w:t>
      </w:r>
      <w:r>
        <w:rPr>
          <w:rFonts w:hint="eastAsia" w:ascii="仿宋_GB2312" w:hAnsi="仿宋_GB2312" w:eastAsia="仿宋_GB2312" w:cs="仿宋_GB2312"/>
          <w:color w:val="auto"/>
          <w:sz w:val="32"/>
          <w:szCs w:val="32"/>
        </w:rPr>
        <w:t>，全面建设运城特色农业、功能农业、观光农业、体验农业、康养农业，打造新亮点，作出新示范，走出一条具有运城特色的“农、旅、居、养”一体化发展的现代农业强市特色道路。</w:t>
      </w:r>
      <w:bookmarkStart w:id="3" w:name="_Toc3136"/>
    </w:p>
    <w:p w14:paraId="79CE2C38">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一、规划背景</w:t>
      </w:r>
      <w:bookmarkEnd w:id="3"/>
    </w:p>
    <w:p w14:paraId="49DBAB78">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十四五”时期，是全面建成小康社会后开启社会主义现代化建设新征程的第一个五年，也是山西经济转型发展出雏型的关键五年。党的十九大提出了实施乡村振兴战略，通过两个“十五年”，全面建成社会主义现代化强国。到2035年，乡村振兴取得决定性进展，农业农村现代化基本实现；到2050年，乡村全面振兴，实现农业强、农村美、农民富的宏伟目标。乡村振兴作为国家战略，成为未来30年“三农”工作的总抓手。中共中央关于制定国民经济和社会发展第十四个五年规划和二〇三五年远景目标的建议、2021年中央一号文件中强调指出：坚持把解决好“三农”问题作为全党工作重中之重，走中国特色社会主义乡村振兴道路，强化以工补农、以城带乡，推动形成工农互促、城乡互补、协调发展、共同繁荣的新型工农城乡关系，加快农业农村现代化。    </w:t>
      </w:r>
    </w:p>
    <w:p w14:paraId="7E038DCE">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2020年5月，习近平总书记再次视察山西时强调：“山西农业的出路在于‘特’和‘优’。要深入推进农业供给侧结构性改革，提高农业综合效益和竞争力”。省委、省政府根据山西发展实际，提出了“三大战略”、“十大集群”、“六新发展”总体发展战略，全面促进山西农业转型发展。运城作为农业大市，必须紧紧把握住新时期农业农村发展的重大历史战略机遇期，准确把握“特”“优”农业的核心内涵，加快观念转型、方式转型和路径转型，率先在农业农村转型发展上蹚出一条新路来。</w:t>
      </w:r>
      <w:bookmarkStart w:id="4" w:name="_Toc7720"/>
    </w:p>
    <w:p w14:paraId="77CA0726">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二、“十三五”农业农村发展主要成就</w:t>
      </w:r>
      <w:bookmarkEnd w:id="4"/>
    </w:p>
    <w:p w14:paraId="5D35F0A5">
      <w:pPr>
        <w:keepNext w:val="0"/>
        <w:keepLines w:val="0"/>
        <w:pageBreakBefore w:val="0"/>
        <w:widowControl w:val="0"/>
        <w:suppressLineNumbers w:val="0"/>
        <w:kinsoku/>
        <w:wordWrap/>
        <w:overflowPunct/>
        <w:topLinePunct w:val="0"/>
        <w:autoSpaceDE/>
        <w:autoSpaceDN/>
        <w:bidi w:val="0"/>
        <w:adjustRightInd/>
        <w:snapToGrid/>
        <w:spacing w:line="65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“十三五”以来，全市上下认真学习贯彻习近平总书记关于“三农”工作重要论述和视察山西重要讲话重要指示，坚持省委</w:t>
      </w:r>
      <w:r>
        <w:rPr>
          <w:rFonts w:hint="eastAsia" w:ascii="仿宋_GB2312" w:hAnsi="仿宋_GB2312" w:eastAsia="仿宋_GB2312" w:cs="仿宋_GB2312"/>
          <w:color w:val="auto"/>
          <w:sz w:val="32"/>
          <w:szCs w:val="32"/>
          <w:lang w:val="en-US" w:eastAsia="zh-CN"/>
        </w:rPr>
        <w:t>农业高质量高速度发展决策部署，</w:t>
      </w:r>
      <w:r>
        <w:rPr>
          <w:rFonts w:hint="eastAsia" w:ascii="仿宋_GB2312" w:hAnsi="仿宋_GB2312" w:eastAsia="仿宋_GB2312" w:cs="仿宋_GB2312"/>
          <w:color w:val="auto"/>
          <w:sz w:val="32"/>
          <w:szCs w:val="32"/>
        </w:rPr>
        <w:t>把推进实施乡村振兴战略作为新时期“三农”工作总抓手，围绕“产业兴旺、生态宜居、乡风文明、治理有效、生活富裕”总要求，全力用好“五抓一优一促”经济工作总抓手，努力实现农业强、农村美、农民富。“十三五”期间，“三农”事业取得巨大成就，农业现代化水平、农村各项改革走在全省前列，农村社会事业全面进步，乡村治理能力不断提升，农业农村发展迈上新台阶。</w:t>
      </w:r>
    </w:p>
    <w:p w14:paraId="71F6DC6E">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5" w:name="_Toc6587_WPSOffice_Level3"/>
      <w:bookmarkStart w:id="6" w:name="_Toc6907"/>
      <w:bookmarkStart w:id="7" w:name="_Toc25767"/>
      <w:r>
        <w:rPr>
          <w:rFonts w:hint="eastAsia" w:ascii="楷体_GB2312" w:hAnsi="楷体_GB2312" w:eastAsia="楷体_GB2312" w:cs="楷体_GB2312"/>
          <w:bCs/>
          <w:color w:val="auto"/>
          <w:sz w:val="32"/>
          <w:szCs w:val="32"/>
        </w:rPr>
        <w:t>1.农业综合生产能力显著增强</w:t>
      </w:r>
      <w:bookmarkEnd w:id="5"/>
      <w:bookmarkEnd w:id="6"/>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2020年，全市农林牧渔业增加值286.5亿元，农林牧渔业总产值532.5亿元，比2015年增长35.5%，其中水果产值占农林牧渔业产值比重为42.2%，水果产量685.1万吨，比2015年增长14.2%，对农业经济拉动作用最大，产业结构调整成效明显；农业产业体系不断完善，粮食产量连续五年稳定在</w:t>
      </w:r>
      <w:r>
        <w:rPr>
          <w:rFonts w:hint="eastAsia" w:ascii="仿宋_GB2312" w:hAnsi="仿宋_GB2312" w:eastAsia="仿宋_GB2312" w:cs="仿宋_GB2312"/>
          <w:color w:val="auto"/>
          <w:sz w:val="32"/>
          <w:szCs w:val="32"/>
          <w:lang w:val="en-US" w:eastAsia="zh-CN"/>
        </w:rPr>
        <w:t>25.5</w:t>
      </w:r>
      <w:r>
        <w:rPr>
          <w:rFonts w:hint="eastAsia" w:ascii="仿宋_GB2312" w:hAnsi="仿宋_GB2312" w:eastAsia="仿宋_GB2312" w:cs="仿宋_GB2312"/>
          <w:color w:val="auto"/>
          <w:sz w:val="32"/>
          <w:szCs w:val="32"/>
        </w:rPr>
        <w:t>亿公斤以上。粮食、水果、禽蛋等产量稳居全省第一，生猪养殖进入全省第一方阵；农业基础设施条件不断改善，截止2020年，全市高标准农田383万亩。农业现代化水平不断提升，2020年全市农业机械总动力316.6万千瓦，全省第一，主要农作物耕种收综合机械化水平达到74.7%，高出全国平均水平3.7个百分点。水浇地面积647万亩，农民人均2亩多，是全省人均水平的2倍；农业结构不断优化，区域化板块化特色农业布局已经形成，设施农业、功能农业、城郊农业、</w:t>
      </w:r>
      <w:r>
        <w:rPr>
          <w:rFonts w:hint="eastAsia" w:ascii="仿宋_GB2312" w:hAnsi="仿宋_GB2312" w:eastAsia="仿宋_GB2312" w:cs="仿宋_GB2312"/>
          <w:color w:val="auto"/>
          <w:sz w:val="32"/>
          <w:szCs w:val="32"/>
          <w:lang w:eastAsia="zh-CN"/>
        </w:rPr>
        <w:t>数字</w:t>
      </w:r>
      <w:r>
        <w:rPr>
          <w:rFonts w:hint="eastAsia" w:ascii="仿宋_GB2312" w:hAnsi="仿宋_GB2312" w:eastAsia="仿宋_GB2312" w:cs="仿宋_GB2312"/>
          <w:color w:val="auto"/>
          <w:sz w:val="32"/>
          <w:szCs w:val="32"/>
        </w:rPr>
        <w:t>农业、休闲观光农业等新业态蓬勃发展，农村一二三产业融合发展趋势凸显。</w:t>
      </w:r>
      <w:bookmarkEnd w:id="7"/>
    </w:p>
    <w:p w14:paraId="6F8AA6C3">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8" w:name="_Toc18712"/>
      <w:bookmarkStart w:id="9" w:name="_Toc18956_WPSOffice_Level3"/>
      <w:bookmarkStart w:id="10" w:name="_Toc9082"/>
      <w:r>
        <w:rPr>
          <w:rFonts w:hint="eastAsia" w:ascii="楷体_GB2312" w:hAnsi="楷体_GB2312" w:eastAsia="楷体_GB2312" w:cs="楷体_GB2312"/>
          <w:bCs/>
          <w:color w:val="auto"/>
          <w:sz w:val="32"/>
          <w:szCs w:val="32"/>
        </w:rPr>
        <w:t>2.农村一二三产业融合发展不断提升</w:t>
      </w:r>
      <w:bookmarkEnd w:id="8"/>
      <w:bookmarkEnd w:id="9"/>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2020年，全市农产品加工销售额占全省近20%，果汁加工能力占全省的90%、全国的35%，全市各类水果已出口</w:t>
      </w:r>
      <w:r>
        <w:rPr>
          <w:rFonts w:hint="eastAsia" w:ascii="仿宋_GB2312" w:hAnsi="仿宋_GB2312" w:eastAsia="仿宋_GB2312" w:cs="仿宋_GB2312"/>
          <w:color w:val="auto"/>
          <w:sz w:val="32"/>
          <w:szCs w:val="32"/>
          <w:lang w:val="en-US" w:eastAsia="zh-CN"/>
        </w:rPr>
        <w:t>73</w:t>
      </w:r>
      <w:r>
        <w:rPr>
          <w:rFonts w:hint="eastAsia" w:ascii="仿宋_GB2312" w:hAnsi="仿宋_GB2312" w:eastAsia="仿宋_GB2312" w:cs="仿宋_GB2312"/>
          <w:color w:val="auto"/>
          <w:sz w:val="32"/>
          <w:szCs w:val="32"/>
        </w:rPr>
        <w:t>个国家和地区，运城果业发展已经上升为省级战略。全市市级以上龙头企业达到285家，其中国家级龙头企业6家，销售过亿元的农业企业35家。全市合作社、家庭农场数量达到1.57万家，连续多年全省第一；省级以上示范社占合作社总数的3.17%，全市已基本建成覆盖农资、农机、畜牧、蔬菜、果树等多专业多环节，市、县、乡、村四级的农业社会化服务体系。</w:t>
      </w:r>
      <w:bookmarkEnd w:id="10"/>
    </w:p>
    <w:p w14:paraId="6FAF7BCB">
      <w:pPr>
        <w:keepNext w:val="0"/>
        <w:keepLines w:val="0"/>
        <w:pageBreakBefore w:val="0"/>
        <w:widowControl w:val="0"/>
        <w:kinsoku/>
        <w:wordWrap/>
        <w:overflowPunct/>
        <w:topLinePunct w:val="0"/>
        <w:autoSpaceDE/>
        <w:autoSpaceDN/>
        <w:bidi w:val="0"/>
        <w:adjustRightInd/>
        <w:snapToGrid/>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11" w:name="_Toc17494"/>
      <w:bookmarkStart w:id="12" w:name="_Toc21986_WPSOffice_Level3"/>
      <w:bookmarkStart w:id="13" w:name="_Toc23358"/>
      <w:r>
        <w:rPr>
          <w:rFonts w:hint="eastAsia" w:ascii="楷体_GB2312" w:hAnsi="楷体_GB2312" w:eastAsia="楷体_GB2312" w:cs="楷体_GB2312"/>
          <w:bCs/>
          <w:color w:val="auto"/>
          <w:sz w:val="32"/>
          <w:szCs w:val="32"/>
        </w:rPr>
        <w:t>3.农村发展活力持续增强</w:t>
      </w:r>
      <w:bookmarkEnd w:id="11"/>
      <w:bookmarkEnd w:id="12"/>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农村改革各项工作走在全省前列。已完成农村土地承包经营权确权登记办证工作。出台引导土地流转促进现代农业发展意见，建立了市、县、乡、村四级土地流转服务平台和农村产权交易中心。扎实推进承包地“三权分置”改革，累计流转土地面积占家庭承包经营耕地总面积的27%。新型经营主体不断发育，农民合作社行政村覆盖率达到100%，农业社会化服务体系不断健全。已完成土地承包权、经营权抵押贷款全省试点。完成全国农村集体产权制度改革试点，出台发展新型村级集体经济实施方案，全市农村集体经济收入实现破零。推进供销社、农村水权、小型水利工程产权和农业水价等改革。深化林业改革，完善了林权抵押贷款、森林保险等配套政策。推动农村信用社改制，发展了多种形式新型农业金融组织，出台了信用社资金扶持现代农业行动计划，农业保险覆盖面不断扩大。运城的一系列改革创新举措和重大行动，探索积累了发展经验，释放了制度活力，有效推动了农业农村现代化发展。</w:t>
      </w:r>
      <w:bookmarkEnd w:id="13"/>
    </w:p>
    <w:p w14:paraId="14DDE236">
      <w:pPr>
        <w:keepNext w:val="0"/>
        <w:keepLines w:val="0"/>
        <w:pageBreakBefore w:val="0"/>
        <w:widowControl w:val="0"/>
        <w:suppressLineNumbers w:val="0"/>
        <w:kinsoku/>
        <w:wordWrap/>
        <w:overflowPunct/>
        <w:topLinePunct w:val="0"/>
        <w:autoSpaceDE/>
        <w:autoSpaceDN/>
        <w:bidi w:val="0"/>
        <w:adjustRightInd/>
        <w:snapToGrid/>
        <w:spacing w:line="650" w:lineRule="exact"/>
        <w:ind w:firstLine="640" w:firstLineChars="200"/>
        <w:jc w:val="left"/>
        <w:textAlignment w:val="auto"/>
        <w:rPr>
          <w:rFonts w:hint="eastAsia" w:ascii="仿宋_GB2312" w:hAnsi="仿宋_GB2312" w:eastAsia="仿宋_GB2312" w:cs="仿宋_GB2312"/>
          <w:color w:val="auto"/>
          <w:sz w:val="32"/>
          <w:szCs w:val="32"/>
        </w:rPr>
      </w:pPr>
      <w:bookmarkStart w:id="14" w:name="_Toc12619"/>
      <w:bookmarkStart w:id="15" w:name="_Toc7028_WPSOffice_Level3"/>
      <w:bookmarkStart w:id="16" w:name="_Toc5546"/>
      <w:r>
        <w:rPr>
          <w:rFonts w:hint="eastAsia" w:ascii="楷体_GB2312" w:hAnsi="楷体_GB2312" w:eastAsia="楷体_GB2312" w:cs="楷体_GB2312"/>
          <w:bCs/>
          <w:color w:val="auto"/>
          <w:sz w:val="32"/>
          <w:szCs w:val="32"/>
        </w:rPr>
        <w:t>4.农民生活条件持续改善</w:t>
      </w:r>
      <w:bookmarkEnd w:id="14"/>
      <w:bookmarkEnd w:id="15"/>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农村建设取得积极进展。实施农村人居环境整治三年行动，坚持“清、拆、改、种、建”五治并举，广泛开展农村环境集中整治，大力开展农村巷道硬化、亮化、绿化、美化，集中解决“脏、乱、差、污、绿”等问题。积极推进“一县一业”、“一村一品”建设，建成“一村一品”专业村1515个，推动农民外出务工创业、返乡创业，不断拓展农民增收渠道，2020年，全市农民人均可支配收入达到12947元。脱贫攻坚取得显著成效，5个贫困县实现如期摘帽，</w:t>
      </w:r>
      <w:r>
        <w:rPr>
          <w:rFonts w:hint="eastAsia" w:ascii="仿宋_GB2312" w:hAnsi="仿宋_GB2312" w:eastAsia="仿宋_GB2312" w:cs="仿宋_GB2312"/>
          <w:color w:val="auto"/>
          <w:sz w:val="32"/>
          <w:szCs w:val="32"/>
          <w:lang w:val="en-US" w:eastAsia="zh-CN"/>
        </w:rPr>
        <w:t>550个贫困村全部退出，22.7万贫困人口</w:t>
      </w:r>
      <w:r>
        <w:rPr>
          <w:rFonts w:hint="eastAsia" w:ascii="仿宋_GB2312" w:hAnsi="仿宋_GB2312" w:eastAsia="仿宋_GB2312" w:cs="仿宋_GB2312"/>
          <w:color w:val="auto"/>
          <w:sz w:val="32"/>
          <w:szCs w:val="32"/>
          <w:lang w:eastAsia="zh-CN"/>
        </w:rPr>
        <w:t>稳定</w:t>
      </w:r>
      <w:r>
        <w:rPr>
          <w:rFonts w:hint="eastAsia" w:ascii="Times New Roman" w:hAnsi="Times New Roman" w:eastAsia="仿宋_GB2312" w:cs="仿宋_GB2312"/>
          <w:color w:val="auto"/>
          <w:sz w:val="32"/>
          <w:szCs w:val="32"/>
        </w:rPr>
        <w:t>脱贫。通过持续不断的乡村建设，全市农民生活条件和水平大幅改善。</w:t>
      </w:r>
      <w:bookmarkEnd w:id="16"/>
    </w:p>
    <w:p w14:paraId="2484A928">
      <w:pPr>
        <w:keepNext w:val="0"/>
        <w:keepLines w:val="0"/>
        <w:pageBreakBefore w:val="0"/>
        <w:widowControl w:val="0"/>
        <w:kinsoku/>
        <w:wordWrap/>
        <w:overflowPunct/>
        <w:topLinePunct w:val="0"/>
        <w:autoSpaceDE/>
        <w:autoSpaceDN/>
        <w:bidi w:val="0"/>
        <w:adjustRightInd/>
        <w:snapToGrid/>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17" w:name="_Toc4398_WPSOffice_Level3"/>
      <w:bookmarkStart w:id="18" w:name="_Toc16396"/>
      <w:bookmarkStart w:id="19" w:name="_Toc17897"/>
      <w:r>
        <w:rPr>
          <w:rFonts w:hint="eastAsia" w:ascii="楷体_GB2312" w:hAnsi="楷体_GB2312" w:eastAsia="楷体_GB2312" w:cs="楷体_GB2312"/>
          <w:bCs/>
          <w:color w:val="auto"/>
          <w:sz w:val="32"/>
          <w:szCs w:val="32"/>
        </w:rPr>
        <w:t>5.农村社会事业不断加强</w:t>
      </w:r>
      <w:bookmarkEnd w:id="17"/>
      <w:bookmarkEnd w:id="18"/>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全市民生领域公共支出占一般公共预算支出的82.4%。城乡养老、医疗保险、城乡低保、特困人员救助供养等标准逐年提高，基本实现了全覆盖；全市完成了全民参保登记计划，城乡居民医疗保险顺利并轨。教育事业不断发展，运城教育品牌不断巩固，城乡义务教育均等化水平显著提升，教育资源开发成为转型发展新动能。40项非物质文化遗产被列为省级项目。农村精神文明建设深入推进，河东优秀文化保护传承取得阶段性进展，农村社会总体和谐稳定。</w:t>
      </w:r>
      <w:bookmarkEnd w:id="19"/>
    </w:p>
    <w:p w14:paraId="1A67DFBD">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20" w:name="_Toc32224"/>
      <w:bookmarkStart w:id="21" w:name="_Toc6042_WPSOffice_Level3"/>
      <w:bookmarkStart w:id="22" w:name="_Toc18577"/>
      <w:r>
        <w:rPr>
          <w:rFonts w:hint="eastAsia" w:ascii="楷体_GB2312" w:hAnsi="楷体_GB2312" w:eastAsia="楷体_GB2312" w:cs="楷体_GB2312"/>
          <w:bCs/>
          <w:color w:val="auto"/>
          <w:sz w:val="32"/>
          <w:szCs w:val="32"/>
        </w:rPr>
        <w:t>6.乡村治理能力不断提升</w:t>
      </w:r>
      <w:bookmarkEnd w:id="20"/>
      <w:bookmarkEnd w:id="21"/>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完成农村“两委”换届。坚持常态化整顿软弱涣散农村基层党组织。每年开展农村基层党员干部政治能力提升培训，实现全覆盖。乡镇（街道）“五小”设施全部建成，村级组织活动场所建设得到提升，乡村两级干部办公条件进一步改善。全市普遍建立了村民会议或村民代表会议、村民自治章程、村规民约、村务公开和民主监督制度，村民自治工作不断完善，规范程度进一步提高，农村基层民主政治建设稳步推进。把“三零”单位创建与坚持完善新时代“枫桥经验”结合起来，推进自治、法治、德治“三治融合”，农村法治建设不断向前，“乡村治、百姓安”的局面正在形成。</w:t>
      </w:r>
      <w:bookmarkEnd w:id="22"/>
      <w:bookmarkStart w:id="23" w:name="_Toc12444"/>
    </w:p>
    <w:p w14:paraId="5E069A1E">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三、问题与挑战</w:t>
      </w:r>
      <w:bookmarkEnd w:id="23"/>
    </w:p>
    <w:p w14:paraId="1184779B">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从总体看，运城市“三农”改革发展已经站在了新的历史起点，深入推进实施乡村振兴战略的基础和条件得到极大提升。但同时，也应清醒地认识到，运城乡村发展仍然存在一系列深层次的矛盾和问题，主要表现为：农业发展的质量和效益还不高，农村集体经济发展仍处于低水平；乡村文化和农耕文明挖掘开发程度低，乡风文明亟待提振；脱贫攻坚与乡村振兴衔接不紧，脱贫质量和成效亟待提升；乡村治理体系有待进一步完善。必须顺应新时代要求和全市人民期盼，进一步增强推进实施乡村振兴战略的紧迫感、责任感和使命感。</w:t>
      </w:r>
      <w:bookmarkStart w:id="24" w:name="_Toc23737_WPSOffice_Level3"/>
      <w:bookmarkStart w:id="25" w:name="_Toc28324"/>
      <w:bookmarkStart w:id="26" w:name="_Toc27110"/>
    </w:p>
    <w:p w14:paraId="7F992021">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Cs/>
          <w:color w:val="auto"/>
          <w:sz w:val="32"/>
          <w:szCs w:val="32"/>
        </w:rPr>
        <w:t>1.产业结构不合理，农业大而不强</w:t>
      </w:r>
      <w:bookmarkEnd w:id="24"/>
      <w:bookmarkEnd w:id="25"/>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三次产业结构不合理，2020年第一产业产值占比16.3%，远高于全国7.3%和全省农5.3%的比例，经济结构落后。第一产业增加值中，种植业占比81.57%，比重过高。农业产业链条短，附加值不高，缺乏优势企业、强势产业和知名品牌，农业资源优势没有充分发挥。农产品加工业发展滞后，农产品加工业龙头企业规模不大、实力不强、带动不广，2020年全市农产品加工业与农业产值之比为1:1.18，远远低于全国2.2：1的平均水平。农产品市场功能不足，特色产品知名度低、知名产品影响力弱，没有形成具有全国影响力的运城代表产品。休闲农业、乡村旅游刚刚兴起，农村一二三产业融合不深，农村新产业新业态正处于起步阶段，动能不充分。</w:t>
      </w:r>
      <w:bookmarkEnd w:id="26"/>
    </w:p>
    <w:p w14:paraId="7DA771A2">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27" w:name="_Toc11367"/>
      <w:bookmarkStart w:id="28" w:name="_Toc5798_WPSOffice_Level3"/>
      <w:bookmarkStart w:id="29" w:name="_Toc25975"/>
      <w:r>
        <w:rPr>
          <w:rFonts w:hint="eastAsia" w:ascii="楷体_GB2312" w:hAnsi="楷体_GB2312" w:eastAsia="楷体_GB2312" w:cs="楷体_GB2312"/>
          <w:bCs/>
          <w:color w:val="auto"/>
          <w:sz w:val="32"/>
          <w:szCs w:val="32"/>
        </w:rPr>
        <w:t>2.农业发展质量效益不高，竞争力不强</w:t>
      </w:r>
      <w:bookmarkEnd w:id="27"/>
      <w:bookmarkEnd w:id="28"/>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产品多而不优，低端化、同质化严重，主要产品阶段性供过于求，竞争力不足。2020年全市粮食亩产351公斤，低于全国382公斤的平均水平。农业保险深度仅0.38，距离基本农业现代化的标准还有较大差距。经国家地理标志认证的蔬菜产量仅占蔬菜总产量的19.92%，经国家地理标志认证的水果产量占总产量的54%，符合市场高质量需求的产品不足。运城农产品出口额虽然近年逐步增长，但距出口高峰，尚有较大差距。</w:t>
      </w:r>
      <w:bookmarkEnd w:id="29"/>
    </w:p>
    <w:p w14:paraId="35210634">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30" w:name="_Toc23513"/>
      <w:bookmarkStart w:id="31" w:name="_Toc21936_WPSOffice_Level3"/>
      <w:bookmarkStart w:id="32" w:name="_Toc18792"/>
      <w:r>
        <w:rPr>
          <w:rFonts w:hint="eastAsia" w:ascii="楷体_GB2312" w:hAnsi="楷体_GB2312" w:eastAsia="楷体_GB2312" w:cs="楷体_GB2312"/>
          <w:bCs/>
          <w:color w:val="auto"/>
          <w:sz w:val="32"/>
          <w:szCs w:val="32"/>
        </w:rPr>
        <w:t>3.新型农业经营主体带动能力弱，素质不</w:t>
      </w:r>
      <w:bookmarkEnd w:id="30"/>
      <w:bookmarkEnd w:id="31"/>
      <w:r>
        <w:rPr>
          <w:rFonts w:hint="eastAsia" w:ascii="楷体_GB2312" w:hAnsi="楷体_GB2312" w:eastAsia="楷体_GB2312" w:cs="楷体_GB2312"/>
          <w:bCs/>
          <w:color w:val="auto"/>
          <w:sz w:val="32"/>
          <w:szCs w:val="32"/>
          <w:lang w:eastAsia="zh-CN"/>
        </w:rPr>
        <w:t>高</w:t>
      </w:r>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新型农业经营主体结构不合理，2020年全市农业企业仅占新型农业经营主体总数的1.79%，国家级龙头企业仅6家，销售过亿元的农业企业仅35家，龙头企业实力总体较弱。农民合作社发展重数量，轻质量，覆盖不广，农民入社率仅19%；合作社总体质量不高，省级以上示范社占合作社总数的3.55%，国家级示范社仅占0.65%。家庭农场数量少，家庭农场经营面积仅占耕地总面积的1.85%。部分农民素质还不高，培训覆盖率低，职业农民较少，农民适应生产发展和市场竞争的能力不足，农业小、散、弱和农民增收难问题突出，现代农业产业体系、生产体系、经营体系亟待优化提升。</w:t>
      </w:r>
      <w:bookmarkEnd w:id="32"/>
    </w:p>
    <w:p w14:paraId="46EE36FE">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bookmarkStart w:id="33" w:name="_Toc30737_WPSOffice_Level3"/>
      <w:bookmarkStart w:id="34" w:name="_Toc20868"/>
      <w:bookmarkStart w:id="35" w:name="_Toc29401"/>
      <w:r>
        <w:rPr>
          <w:rFonts w:hint="eastAsia" w:ascii="楷体_GB2312" w:hAnsi="楷体_GB2312" w:eastAsia="楷体_GB2312" w:cs="楷体_GB2312"/>
          <w:bCs/>
          <w:color w:val="auto"/>
          <w:sz w:val="32"/>
          <w:szCs w:val="32"/>
        </w:rPr>
        <w:t>4.农村基础建设相对滞后，城乡差别大</w:t>
      </w:r>
      <w:bookmarkEnd w:id="33"/>
      <w:bookmarkEnd w:id="34"/>
      <w:r>
        <w:rPr>
          <w:rFonts w:hint="eastAsia" w:ascii="楷体_GB2312" w:hAnsi="楷体_GB2312" w:eastAsia="楷体_GB2312" w:cs="楷体_GB2312"/>
          <w:bCs/>
          <w:color w:val="auto"/>
          <w:sz w:val="32"/>
          <w:szCs w:val="32"/>
        </w:rPr>
        <w:t>。</w:t>
      </w:r>
      <w:r>
        <w:rPr>
          <w:rFonts w:hint="eastAsia" w:ascii="仿宋_GB2312" w:hAnsi="仿宋_GB2312" w:eastAsia="仿宋_GB2312" w:cs="仿宋_GB2312"/>
          <w:color w:val="auto"/>
          <w:sz w:val="32"/>
          <w:szCs w:val="32"/>
        </w:rPr>
        <w:t>到2020年底，全市城镇化率达到49.27%，低于全省62.53%水平，城乡融合发展滞后，农村基础设施短板，农村人居环境和农业生态等问题依然突出；乡土文化传承、保护和弘扬力度不够，婚丧大操大办、铺张浪费现象还较盛行，“因婚致贫”、封建迷信时有发生，乡风文明亟待提振。农村资源资产效能低下，农村自我发展能力弱，乡村治理体系和治理能力亟待强化，乡村整体建设力度亟待加强。</w:t>
      </w:r>
      <w:bookmarkEnd w:id="35"/>
      <w:bookmarkStart w:id="36" w:name="_Toc11054"/>
    </w:p>
    <w:p w14:paraId="1BC98FA2">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四、发展机遇</w:t>
      </w:r>
      <w:bookmarkEnd w:id="36"/>
    </w:p>
    <w:p w14:paraId="16C39A9D">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“十四五”是全市农业农村发展的关键时期，站在百年历史的交汇点上，纵向看成效明显，横向比任务艰巨，实施乡村振兴战略，加快农业农村现代化机遇与挑战并存，发展既有难得的机遇，又面临严峻的挑战。</w:t>
      </w:r>
    </w:p>
    <w:p w14:paraId="0E7510EA">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Cs/>
          <w:color w:val="auto"/>
          <w:sz w:val="32"/>
          <w:szCs w:val="32"/>
        </w:rPr>
        <w:t>国际环境的改变：</w:t>
      </w:r>
      <w:r>
        <w:rPr>
          <w:rFonts w:hint="eastAsia" w:ascii="仿宋_GB2312" w:hAnsi="仿宋_GB2312" w:eastAsia="仿宋_GB2312" w:cs="仿宋_GB2312"/>
          <w:color w:val="auto"/>
          <w:sz w:val="32"/>
          <w:szCs w:val="32"/>
        </w:rPr>
        <w:t>“十四五”时期，世界百年未有之大变局深度演化和中华民族伟大复兴新征程开局起步相互交织。世界将呈现经济增速放缓、科技革命突破、力量格局重构的叠加态势。新一轮科技革命和产业变革正处于实现重大突破的历史关口，将前所未有地推动生产生活方式发生颠覆性变革，深刻改变国家间比较优势和竞争格局。农业的国际竞争更加激烈，粮食安全、农业产业安全面临的环境更加复杂，大宗农产品价格呈现上升的趋势。</w:t>
      </w:r>
    </w:p>
    <w:p w14:paraId="61E81419">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bCs/>
          <w:color w:val="auto"/>
          <w:sz w:val="32"/>
          <w:szCs w:val="32"/>
        </w:rPr>
        <w:t>国家战略的支撑：</w:t>
      </w:r>
      <w:r>
        <w:rPr>
          <w:rFonts w:hint="eastAsia" w:ascii="仿宋_GB2312" w:hAnsi="仿宋_GB2312" w:eastAsia="仿宋_GB2312" w:cs="仿宋_GB2312"/>
          <w:color w:val="auto"/>
          <w:sz w:val="32"/>
          <w:szCs w:val="32"/>
        </w:rPr>
        <w:t>“十四五”时期，是全面开启社会主义现代化强国建设新征程的开局期。党的十九大及系列全会精神、国家“十四五”规划纲要和2035年远景规划目标均强调提出，实施乡村振兴战略，优先发展农业农村，坚持把解决好“三农”问题作为全党工作重中之重，走中国特色社会主义乡村振兴道路，全面实施乡村振兴战略，强化以工补农、以城带乡，推动形成工农互促、城乡互补、协调发展、共同繁荣的新型工农城乡关系，加快农业农村现代化，全面推进乡村振兴，到2035年基本实现农业农村现代化，长期发展的战略支撑明显。</w:t>
      </w:r>
    </w:p>
    <w:p w14:paraId="378E2B2B">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bCs w:val="0"/>
          <w:color w:val="auto"/>
          <w:sz w:val="32"/>
          <w:szCs w:val="32"/>
        </w:rPr>
        <w:t>省市战略的推动：</w:t>
      </w:r>
      <w:r>
        <w:rPr>
          <w:rFonts w:hint="eastAsia" w:ascii="仿宋_GB2312" w:hAnsi="仿宋_GB2312" w:eastAsia="仿宋_GB2312" w:cs="仿宋_GB2312"/>
          <w:color w:val="auto"/>
          <w:sz w:val="32"/>
          <w:szCs w:val="32"/>
        </w:rPr>
        <w:t>从省级层面上，“十四五”时期，全面深化落实“三大战略”“十大集群”、脱贫攻坚成效巩固和“六新”发展，目标明确支持有力，为我市农业农村发展提供了机遇。同时，国家赋予山西转型综改试验区建设、黄河流域生态保护和高质量发展等重大战略，为我省在“十四五”时期实现高质量发展、高水平崛起、高标准保护、高品质生活带来重要机遇。</w:t>
      </w:r>
    </w:p>
    <w:p w14:paraId="7FE6F248">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从全市看，运城作为全省农业农村发展的重点，具有较大的优势与机遇。运城区位优势明显、交通便利，是晋陕豫黄河金三角的交汇处，既有产业发展的基础，又有物流四方的条件；运城农产品出口平台建设，作为山西省“三大战略”之一，面临着重大的发展机遇；国家黄河流域生态保护</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高质量发展战略又赋予了运城率先发展的机遇；汾渭平原成为国家粮食安全的重要生产带，发展地位重要；打造运城现代农业强市、乡村建设先行市的目标，为运城农业农村现代化奠定了腾飞的基础，具备了高质量发展的有利条件；省委经济工作会议提出，运城要重点发展“先进制造、新型材料、高效农业、文化旅游”四大产业，为我市加快农业农村转型发展带来重要机遇。</w:t>
      </w:r>
    </w:p>
    <w:p w14:paraId="5B846C21">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总的来看，我市正处于转型改革集聚力量突破发展的关键时期，虽然挑战严峻，但发展机遇优势多重叠加，大发展大跨</w:t>
      </w:r>
      <w:r>
        <w:rPr>
          <w:rFonts w:hint="eastAsia" w:ascii="仿宋_GB2312" w:hAnsi="仿宋_GB2312" w:eastAsia="仿宋_GB2312" w:cs="仿宋_GB2312"/>
          <w:color w:val="auto"/>
          <w:sz w:val="32"/>
          <w:szCs w:val="32"/>
          <w:lang w:eastAsia="zh-CN"/>
        </w:rPr>
        <w:t>跃</w:t>
      </w:r>
      <w:r>
        <w:rPr>
          <w:rFonts w:hint="eastAsia" w:ascii="仿宋_GB2312" w:hAnsi="仿宋_GB2312" w:eastAsia="仿宋_GB2312" w:cs="仿宋_GB2312"/>
          <w:color w:val="auto"/>
          <w:sz w:val="32"/>
          <w:szCs w:val="32"/>
        </w:rPr>
        <w:t>已成必然。必须紧紧抓住当前大有可为的重大战略机遇期，全面推动运城农业农村现代化发展。</w:t>
      </w:r>
    </w:p>
    <w:p w14:paraId="2488200A">
      <w:pPr>
        <w:keepNext w:val="0"/>
        <w:keepLines w:val="0"/>
        <w:pageBreakBefore w:val="0"/>
        <w:widowControl w:val="0"/>
        <w:kinsoku/>
        <w:wordWrap/>
        <w:overflowPunct/>
        <w:topLinePunct w:val="0"/>
        <w:autoSpaceDE/>
        <w:autoSpaceDN/>
        <w:bidi w:val="0"/>
        <w:spacing w:line="650" w:lineRule="exact"/>
        <w:jc w:val="both"/>
        <w:textAlignment w:val="auto"/>
        <w:outlineLvl w:val="0"/>
        <w:rPr>
          <w:rFonts w:ascii="仿宋" w:hAnsi="仿宋" w:eastAsia="仿宋" w:cs="仿宋"/>
          <w:b/>
          <w:color w:val="auto"/>
          <w:sz w:val="32"/>
          <w:szCs w:val="32"/>
        </w:rPr>
      </w:pPr>
      <w:bookmarkStart w:id="37" w:name="_Toc1764"/>
    </w:p>
    <w:p w14:paraId="2620D9A0">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r>
        <w:rPr>
          <w:rFonts w:hint="eastAsia" w:ascii="黑体" w:hAnsi="黑体" w:eastAsia="黑体" w:cs="黑体"/>
          <w:bCs/>
          <w:color w:val="auto"/>
          <w:sz w:val="36"/>
          <w:szCs w:val="36"/>
        </w:rPr>
        <w:t>第二章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总体要求</w:t>
      </w:r>
      <w:bookmarkEnd w:id="37"/>
    </w:p>
    <w:p w14:paraId="0E65B5B2">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ascii="仿宋" w:hAnsi="仿宋" w:eastAsia="仿宋" w:cs="仿宋"/>
          <w:color w:val="auto"/>
          <w:sz w:val="32"/>
          <w:szCs w:val="32"/>
        </w:rPr>
      </w:pPr>
      <w:bookmarkStart w:id="38" w:name="_Toc1437"/>
      <w:bookmarkEnd w:id="38"/>
    </w:p>
    <w:p w14:paraId="36081E31">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ascii="黑体" w:hAnsi="黑体" w:eastAsia="黑体" w:cs="方正黑体_GBK"/>
          <w:color w:val="auto"/>
          <w:sz w:val="32"/>
          <w:szCs w:val="32"/>
        </w:rPr>
      </w:pPr>
      <w:bookmarkStart w:id="39" w:name="_Toc15761"/>
      <w:r>
        <w:rPr>
          <w:rFonts w:hint="eastAsia" w:ascii="黑体" w:hAnsi="黑体" w:eastAsia="黑体" w:cs="方正黑体_GBK"/>
          <w:color w:val="auto"/>
          <w:sz w:val="32"/>
          <w:szCs w:val="32"/>
        </w:rPr>
        <w:t>一、指导思想</w:t>
      </w:r>
      <w:bookmarkEnd w:id="39"/>
      <w:bookmarkStart w:id="40" w:name="_Toc27387"/>
      <w:bookmarkEnd w:id="40"/>
    </w:p>
    <w:p w14:paraId="74C333E6">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坚持以习近平新时代中国特色社会主义思想为指导，全面贯彻党的十九大和十九届</w:t>
      </w:r>
      <w:r>
        <w:rPr>
          <w:rFonts w:hint="eastAsia" w:ascii="仿宋_GB2312" w:hAnsi="仿宋_GB2312" w:eastAsia="仿宋_GB2312" w:cs="仿宋_GB2312"/>
          <w:color w:val="auto"/>
          <w:sz w:val="32"/>
          <w:szCs w:val="32"/>
          <w:lang w:val="en-US" w:eastAsia="zh-CN"/>
        </w:rPr>
        <w:t>历次</w:t>
      </w:r>
      <w:r>
        <w:rPr>
          <w:rFonts w:hint="eastAsia" w:ascii="仿宋_GB2312" w:hAnsi="仿宋_GB2312" w:eastAsia="仿宋_GB2312" w:cs="仿宋_GB2312"/>
          <w:color w:val="auto"/>
          <w:sz w:val="32"/>
          <w:szCs w:val="32"/>
          <w:lang w:val="zh-CN"/>
        </w:rPr>
        <w:t>全会精神和习近平</w:t>
      </w:r>
      <w:r>
        <w:rPr>
          <w:rFonts w:hint="eastAsia" w:ascii="仿宋_GB2312" w:hAnsi="仿宋_GB2312" w:eastAsia="仿宋_GB2312" w:cs="仿宋_GB2312"/>
          <w:color w:val="auto"/>
          <w:sz w:val="32"/>
          <w:szCs w:val="32"/>
        </w:rPr>
        <w:t>总书记视察山西重要讲话重要指示，</w:t>
      </w:r>
      <w:r>
        <w:rPr>
          <w:rFonts w:hint="eastAsia" w:ascii="仿宋_GB2312" w:hAnsi="仿宋_GB2312" w:eastAsia="仿宋_GB2312" w:cs="仿宋_GB2312"/>
          <w:color w:val="auto"/>
          <w:sz w:val="32"/>
          <w:szCs w:val="32"/>
          <w:lang w:val="en-US" w:eastAsia="zh-CN"/>
        </w:rPr>
        <w:t>统筹推进“五位一体”总体布局，协调推进“四个全面”战略布局，</w:t>
      </w:r>
      <w:r>
        <w:rPr>
          <w:rFonts w:hint="eastAsia" w:ascii="仿宋_GB2312" w:hAnsi="仿宋_GB2312" w:eastAsia="仿宋_GB2312" w:cs="仿宋_GB2312"/>
          <w:color w:val="auto"/>
          <w:sz w:val="32"/>
          <w:szCs w:val="32"/>
        </w:rPr>
        <w:t>全面</w:t>
      </w:r>
      <w:r>
        <w:rPr>
          <w:rFonts w:hint="eastAsia" w:ascii="仿宋_GB2312" w:hAnsi="仿宋_GB2312" w:eastAsia="仿宋_GB2312" w:cs="仿宋_GB2312"/>
          <w:color w:val="auto"/>
          <w:sz w:val="32"/>
          <w:szCs w:val="32"/>
          <w:lang w:val="en-US" w:eastAsia="zh-CN"/>
        </w:rPr>
        <w:t>贯彻</w:t>
      </w:r>
      <w:r>
        <w:rPr>
          <w:rFonts w:hint="eastAsia" w:ascii="仿宋_GB2312" w:hAnsi="仿宋_GB2312" w:eastAsia="仿宋_GB2312" w:cs="仿宋_GB2312"/>
          <w:color w:val="auto"/>
          <w:sz w:val="32"/>
          <w:szCs w:val="32"/>
        </w:rPr>
        <w:t>落实</w:t>
      </w:r>
      <w:r>
        <w:rPr>
          <w:rFonts w:hint="eastAsia" w:ascii="仿宋_GB2312" w:hAnsi="仿宋_GB2312" w:eastAsia="仿宋_GB2312" w:cs="仿宋_GB2312"/>
          <w:color w:val="auto"/>
          <w:sz w:val="32"/>
          <w:szCs w:val="32"/>
          <w:lang w:val="en-US" w:eastAsia="zh-CN"/>
        </w:rPr>
        <w:t>国家、省、市决策部署</w:t>
      </w:r>
      <w:r>
        <w:rPr>
          <w:rFonts w:hint="eastAsia" w:ascii="仿宋_GB2312" w:hAnsi="仿宋_GB2312" w:eastAsia="仿宋_GB2312" w:cs="仿宋_GB2312"/>
          <w:color w:val="auto"/>
          <w:sz w:val="32"/>
          <w:szCs w:val="32"/>
        </w:rPr>
        <w:t>，坚持</w:t>
      </w:r>
      <w:r>
        <w:rPr>
          <w:rFonts w:hint="eastAsia" w:ascii="仿宋_GB2312" w:hAnsi="仿宋_GB2312" w:eastAsia="仿宋_GB2312" w:cs="仿宋_GB2312"/>
          <w:color w:val="auto"/>
          <w:sz w:val="32"/>
          <w:szCs w:val="32"/>
          <w:lang w:val="en-US" w:eastAsia="zh-CN"/>
        </w:rPr>
        <w:t>稳中求进工作总基调，立足新发展阶段</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完整、准确、全面贯彻新发展理念，构建新发展格局，坚持农业农村优先发展，坚持农业现代化与农村现代化一体设计、一并推进。以推动高质量发展为主题，以建设黄河流域（运城段）生态保护和高质量发展示范区为牵引，以保供固安全、振兴畅循环为工作定位，坚持农业“特”“优”战略，持续深化农业供给侧结构性改革，加快推动运城现代农业强市建设。把乡村建设摆在社会主义现代化建设的重要位置，实现巩固拓展脱贫攻坚成果同乡村振兴有效衔接，全面推进乡村产业、人才、文化、生态、组织振兴，加快形成工农互促、城乡互补、协调发展、共同繁荣的新型工农城乡关系，促进农业高质高效、乡村宜居宜业、农民富足富裕，</w:t>
      </w:r>
      <w:r>
        <w:rPr>
          <w:rFonts w:hint="eastAsia" w:ascii="仿宋_GB2312" w:hAnsi="仿宋_GB2312" w:eastAsia="仿宋_GB2312" w:cs="仿宋_GB2312"/>
          <w:color w:val="auto"/>
          <w:sz w:val="32"/>
          <w:szCs w:val="32"/>
          <w:lang w:eastAsia="zh-CN"/>
        </w:rPr>
        <w:t>蹚</w:t>
      </w:r>
      <w:r>
        <w:rPr>
          <w:rFonts w:hint="eastAsia" w:ascii="仿宋_GB2312" w:hAnsi="仿宋_GB2312" w:eastAsia="仿宋_GB2312" w:cs="仿宋_GB2312"/>
          <w:color w:val="auto"/>
          <w:sz w:val="32"/>
          <w:szCs w:val="32"/>
        </w:rPr>
        <w:t>出一条具有运城区域优势、产业特色、产品特点和农民增收的新路子，</w:t>
      </w:r>
      <w:r>
        <w:rPr>
          <w:rFonts w:hint="eastAsia" w:ascii="仿宋_GB2312" w:hAnsi="仿宋_GB2312" w:eastAsia="仿宋_GB2312" w:cs="仿宋_GB2312"/>
          <w:color w:val="auto"/>
          <w:sz w:val="32"/>
          <w:szCs w:val="32"/>
          <w:lang w:val="zh-CN"/>
        </w:rPr>
        <w:t>在全省率先建成现代农业强市和乡村建设示范市，为基本实现农业农村现代化奠定坚实基础，</w:t>
      </w:r>
      <w:r>
        <w:rPr>
          <w:rFonts w:hint="eastAsia" w:ascii="仿宋_GB2312" w:hAnsi="仿宋_GB2312" w:eastAsia="仿宋_GB2312" w:cs="仿宋_GB2312"/>
          <w:color w:val="auto"/>
          <w:sz w:val="32"/>
          <w:szCs w:val="32"/>
          <w:lang w:val="en-US" w:eastAsia="zh-CN"/>
        </w:rPr>
        <w:t>为全面建设社会主义现代化国家提供有力支撑</w:t>
      </w:r>
      <w:r>
        <w:rPr>
          <w:rFonts w:hint="eastAsia" w:ascii="仿宋_GB2312" w:hAnsi="仿宋_GB2312" w:eastAsia="仿宋_GB2312" w:cs="仿宋_GB2312"/>
          <w:color w:val="auto"/>
          <w:sz w:val="32"/>
          <w:szCs w:val="32"/>
          <w:lang w:val="zh-CN"/>
        </w:rPr>
        <w:t>。</w:t>
      </w:r>
      <w:bookmarkStart w:id="41" w:name="_Toc29772"/>
    </w:p>
    <w:p w14:paraId="7930C118">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ascii="黑体" w:hAnsi="黑体" w:eastAsia="黑体" w:cs="仿宋"/>
          <w:b/>
          <w:color w:val="auto"/>
          <w:sz w:val="32"/>
          <w:szCs w:val="32"/>
        </w:rPr>
      </w:pPr>
      <w:r>
        <w:rPr>
          <w:rFonts w:hint="eastAsia" w:ascii="黑体" w:hAnsi="黑体" w:eastAsia="黑体" w:cs="方正黑体_GBK"/>
          <w:bCs/>
          <w:color w:val="auto"/>
          <w:sz w:val="32"/>
          <w:szCs w:val="32"/>
        </w:rPr>
        <w:t>二、基本原则</w:t>
      </w:r>
      <w:bookmarkEnd w:id="41"/>
    </w:p>
    <w:p w14:paraId="6554C5F4">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42" w:name="_Toc787"/>
      <w:bookmarkStart w:id="43" w:name="_Toc16546_WPSOffice_Level3"/>
      <w:bookmarkStart w:id="44" w:name="_Toc22349"/>
      <w:r>
        <w:rPr>
          <w:rFonts w:hint="eastAsia" w:ascii="楷体_GB2312" w:hAnsi="楷体_GB2312" w:eastAsia="楷体_GB2312" w:cs="楷体_GB2312"/>
          <w:bCs/>
          <w:color w:val="auto"/>
          <w:sz w:val="32"/>
          <w:szCs w:val="32"/>
          <w:lang w:val="zh-CN"/>
        </w:rPr>
        <w:t>1.</w:t>
      </w:r>
      <w:r>
        <w:rPr>
          <w:rFonts w:hint="eastAsia" w:ascii="楷体_GB2312" w:hAnsi="楷体_GB2312" w:eastAsia="楷体_GB2312" w:cs="楷体_GB2312"/>
          <w:color w:val="auto"/>
          <w:sz w:val="32"/>
          <w:szCs w:val="32"/>
          <w:lang w:val="zh-CN"/>
        </w:rPr>
        <w:t>坚持党管农村、农民主体</w:t>
      </w:r>
      <w:bookmarkEnd w:id="42"/>
      <w:bookmarkEnd w:id="43"/>
      <w:r>
        <w:rPr>
          <w:rFonts w:hint="eastAsia" w:ascii="楷体_GB2312" w:hAnsi="楷体_GB2312" w:eastAsia="楷体_GB2312" w:cs="楷体_GB2312"/>
          <w:color w:val="auto"/>
          <w:sz w:val="32"/>
          <w:szCs w:val="32"/>
          <w:lang w:val="zh-CN"/>
        </w:rPr>
        <w:t>。</w:t>
      </w:r>
      <w:r>
        <w:rPr>
          <w:rFonts w:hint="eastAsia" w:ascii="仿宋_GB2312" w:hAnsi="仿宋_GB2312" w:eastAsia="仿宋_GB2312" w:cs="仿宋_GB2312"/>
          <w:color w:val="auto"/>
          <w:sz w:val="32"/>
          <w:szCs w:val="32"/>
          <w:lang w:val="zh-CN"/>
        </w:rPr>
        <w:t>党的领导和农民主体的合力是乡村振兴的源动力。加强党对农村工作的领导，确保始终总揽全局、协调各方，为乡村振兴提供坚强有力的政治保障。充分发挥农民在乡村振兴中的主体作用，全面调动农民的积极性和创造力，不断提升农民获得感、幸福感和主人翁地位，发挥人才聚集保障作用，打造一支在党的全面领导下的乡村振兴主力军。</w:t>
      </w:r>
      <w:bookmarkEnd w:id="44"/>
    </w:p>
    <w:p w14:paraId="14CFC967">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45" w:name="_Toc11580_WPSOffice_Level3"/>
      <w:bookmarkStart w:id="46" w:name="_Toc30743"/>
      <w:bookmarkStart w:id="47" w:name="_Toc4704"/>
      <w:r>
        <w:rPr>
          <w:rFonts w:hint="eastAsia" w:ascii="楷体_GB2312" w:hAnsi="楷体_GB2312" w:eastAsia="楷体_GB2312" w:cs="楷体_GB2312"/>
          <w:bCs/>
          <w:color w:val="auto"/>
          <w:sz w:val="32"/>
          <w:szCs w:val="32"/>
          <w:lang w:val="zh-CN"/>
        </w:rPr>
        <w:t>2.</w:t>
      </w:r>
      <w:r>
        <w:rPr>
          <w:rFonts w:hint="eastAsia" w:ascii="楷体_GB2312" w:hAnsi="楷体_GB2312" w:eastAsia="楷体_GB2312" w:cs="楷体_GB2312"/>
          <w:color w:val="auto"/>
          <w:sz w:val="32"/>
          <w:szCs w:val="32"/>
          <w:lang w:val="zh-CN"/>
        </w:rPr>
        <w:t>坚持科技引领、创新驱动</w:t>
      </w:r>
      <w:bookmarkEnd w:id="45"/>
      <w:bookmarkEnd w:id="46"/>
      <w:r>
        <w:rPr>
          <w:rFonts w:hint="eastAsia" w:ascii="楷体_GB2312" w:hAnsi="楷体_GB2312" w:eastAsia="楷体_GB2312" w:cs="楷体_GB2312"/>
          <w:color w:val="auto"/>
          <w:sz w:val="32"/>
          <w:szCs w:val="32"/>
          <w:lang w:val="zh-CN"/>
        </w:rPr>
        <w:t>。</w:t>
      </w:r>
      <w:r>
        <w:rPr>
          <w:rFonts w:hint="eastAsia" w:ascii="仿宋_GB2312" w:hAnsi="仿宋_GB2312" w:eastAsia="仿宋_GB2312" w:cs="仿宋_GB2312"/>
          <w:color w:val="auto"/>
          <w:sz w:val="32"/>
          <w:szCs w:val="32"/>
          <w:lang w:val="zh-CN"/>
        </w:rPr>
        <w:t>农业“六新”发展，贯穿现代农业的全过程，是现代农业发展新理念的提升，应在新基建、新技术、新材料、新装备、新产品、新业态上不断取得突破，充分发挥科技创新引领支撑作用，在更高起点上推动运城农业的高标准建设，引领山西现代农业的高质量发展。</w:t>
      </w:r>
      <w:bookmarkEnd w:id="47"/>
    </w:p>
    <w:p w14:paraId="46C2D082">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48" w:name="_Toc31312"/>
      <w:bookmarkStart w:id="49" w:name="_Toc21563_WPSOffice_Level3"/>
      <w:bookmarkStart w:id="50" w:name="_Toc2000"/>
      <w:r>
        <w:rPr>
          <w:rFonts w:hint="eastAsia" w:ascii="楷体_GB2312" w:hAnsi="楷体_GB2312" w:eastAsia="楷体_GB2312" w:cs="楷体_GB2312"/>
          <w:bCs/>
          <w:color w:val="auto"/>
          <w:sz w:val="32"/>
          <w:szCs w:val="32"/>
          <w:lang w:val="zh-CN"/>
        </w:rPr>
        <w:t>3.</w:t>
      </w:r>
      <w:r>
        <w:rPr>
          <w:rFonts w:hint="eastAsia" w:ascii="楷体_GB2312" w:hAnsi="楷体_GB2312" w:eastAsia="楷体_GB2312" w:cs="楷体_GB2312"/>
          <w:color w:val="auto"/>
          <w:sz w:val="32"/>
          <w:szCs w:val="32"/>
          <w:lang w:val="zh-CN"/>
        </w:rPr>
        <w:t>坚持城乡融合、改革创新</w:t>
      </w:r>
      <w:bookmarkEnd w:id="48"/>
      <w:bookmarkEnd w:id="49"/>
      <w:r>
        <w:rPr>
          <w:rFonts w:hint="eastAsia" w:ascii="楷体_GB2312" w:hAnsi="楷体_GB2312" w:eastAsia="楷体_GB2312" w:cs="楷体_GB2312"/>
          <w:color w:val="auto"/>
          <w:sz w:val="32"/>
          <w:szCs w:val="32"/>
          <w:lang w:val="zh-CN"/>
        </w:rPr>
        <w:t>。</w:t>
      </w:r>
      <w:r>
        <w:rPr>
          <w:rFonts w:hint="eastAsia" w:ascii="仿宋_GB2312" w:hAnsi="仿宋_GB2312" w:eastAsia="仿宋_GB2312" w:cs="仿宋_GB2312"/>
          <w:color w:val="auto"/>
          <w:sz w:val="32"/>
          <w:szCs w:val="32"/>
          <w:lang w:val="zh-CN"/>
        </w:rPr>
        <w:t>坚持以城乡融合、产城联动、信息共享破解区域发展不平衡、农业农村发展不充分的矛盾，实现城乡要素的相互流动，协同发展，推进市域内新型工业化、信息化、城镇化、农业农村现代化的同步发展。坚持改革创新，推进农业农村优先发展，加快补齐农业农村发展短板，将全党工作的“重中之重”落到实处，激发农业农村发展新动能。</w:t>
      </w:r>
      <w:bookmarkEnd w:id="50"/>
    </w:p>
    <w:p w14:paraId="498706AF">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51" w:name="_Toc6603_WPSOffice_Level3"/>
      <w:bookmarkStart w:id="52" w:name="_Toc7173"/>
      <w:bookmarkStart w:id="53" w:name="_Toc31415"/>
      <w:r>
        <w:rPr>
          <w:rFonts w:hint="eastAsia" w:ascii="楷体_GB2312" w:hAnsi="楷体_GB2312" w:eastAsia="楷体_GB2312" w:cs="楷体_GB2312"/>
          <w:bCs/>
          <w:color w:val="auto"/>
          <w:sz w:val="32"/>
          <w:szCs w:val="32"/>
          <w:lang w:val="zh-CN"/>
        </w:rPr>
        <w:t>4.</w:t>
      </w:r>
      <w:r>
        <w:rPr>
          <w:rFonts w:hint="eastAsia" w:ascii="楷体_GB2312" w:hAnsi="楷体_GB2312" w:eastAsia="楷体_GB2312" w:cs="楷体_GB2312"/>
          <w:color w:val="auto"/>
          <w:sz w:val="32"/>
          <w:szCs w:val="32"/>
          <w:lang w:val="zh-CN"/>
        </w:rPr>
        <w:t>坚持统筹规划、分批推进</w:t>
      </w:r>
      <w:bookmarkEnd w:id="51"/>
      <w:bookmarkEnd w:id="52"/>
      <w:r>
        <w:rPr>
          <w:rFonts w:hint="eastAsia" w:ascii="楷体_GB2312" w:hAnsi="楷体_GB2312" w:eastAsia="楷体_GB2312" w:cs="楷体_GB2312"/>
          <w:color w:val="auto"/>
          <w:sz w:val="32"/>
          <w:szCs w:val="32"/>
          <w:lang w:val="zh-CN"/>
        </w:rPr>
        <w:t>。</w:t>
      </w:r>
      <w:r>
        <w:rPr>
          <w:rFonts w:hint="eastAsia" w:ascii="仿宋_GB2312" w:hAnsi="仿宋_GB2312" w:eastAsia="仿宋_GB2312" w:cs="仿宋_GB2312"/>
          <w:color w:val="auto"/>
          <w:sz w:val="32"/>
          <w:szCs w:val="32"/>
          <w:lang w:val="zh-CN"/>
        </w:rPr>
        <w:t>准确把握乡村振兴的科学内涵，挖掘乡村的多种功能和价值，充分考虑县域乡村的自然条件、经济发展水平和民俗文化差异，贴近实际，突出特色，注重实效，因地制宜，突出规划的超前性，结合建设的现实性，整体部署、分类施策，分批推进、示范带动，推动农业农村大发展。</w:t>
      </w:r>
      <w:bookmarkEnd w:id="53"/>
    </w:p>
    <w:p w14:paraId="46E3EB76">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54" w:name="_Toc6454"/>
      <w:bookmarkStart w:id="55" w:name="_Toc22179_WPSOffice_Level3"/>
      <w:bookmarkStart w:id="56" w:name="_Toc4811"/>
      <w:r>
        <w:rPr>
          <w:rFonts w:hint="eastAsia" w:ascii="楷体_GB2312" w:hAnsi="楷体_GB2312" w:eastAsia="楷体_GB2312" w:cs="楷体_GB2312"/>
          <w:bCs/>
          <w:color w:val="auto"/>
          <w:sz w:val="32"/>
          <w:szCs w:val="32"/>
          <w:lang w:val="zh-CN"/>
        </w:rPr>
        <w:t>5.</w:t>
      </w:r>
      <w:r>
        <w:rPr>
          <w:rFonts w:hint="eastAsia" w:ascii="楷体_GB2312" w:hAnsi="楷体_GB2312" w:eastAsia="楷体_GB2312" w:cs="楷体_GB2312"/>
          <w:color w:val="auto"/>
          <w:sz w:val="32"/>
          <w:szCs w:val="32"/>
          <w:lang w:val="zh-CN"/>
        </w:rPr>
        <w:t>坚持发挥优势、打造特色</w:t>
      </w:r>
      <w:bookmarkEnd w:id="54"/>
      <w:bookmarkEnd w:id="55"/>
      <w:r>
        <w:rPr>
          <w:rFonts w:hint="eastAsia" w:ascii="楷体_GB2312" w:hAnsi="楷体_GB2312" w:eastAsia="楷体_GB2312" w:cs="楷体_GB2312"/>
          <w:color w:val="auto"/>
          <w:sz w:val="32"/>
          <w:szCs w:val="32"/>
          <w:lang w:val="zh-CN"/>
        </w:rPr>
        <w:t>。</w:t>
      </w:r>
      <w:r>
        <w:rPr>
          <w:rFonts w:hint="eastAsia" w:ascii="仿宋_GB2312" w:hAnsi="仿宋_GB2312" w:eastAsia="仿宋_GB2312" w:cs="仿宋_GB2312"/>
          <w:color w:val="auto"/>
          <w:sz w:val="32"/>
          <w:szCs w:val="32"/>
          <w:lang w:val="zh-CN"/>
        </w:rPr>
        <w:t>乡村振兴的核心是人民生活质量的根本改善。必须创新体制机制，深化农村改革，实施农业“特”“优”战略，做强做大优质粮食、果品蔬菜、畜牧水产、中药材、农产品加工物流和乡村旅游，构建产业集群，延长产业链，提升价值链，促进一二三产业融合和城乡一体化发展，建设宜居、宜业、宜游、宜养的美丽乡村，走出一条独具运城特色的乡村振兴之路。</w:t>
      </w:r>
      <w:bookmarkEnd w:id="56"/>
    </w:p>
    <w:p w14:paraId="21E45F83">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bookmarkStart w:id="57" w:name="_Toc32756_WPSOffice_Level3"/>
      <w:bookmarkStart w:id="58" w:name="_Toc10341"/>
      <w:bookmarkStart w:id="59" w:name="_Toc30950"/>
      <w:r>
        <w:rPr>
          <w:rFonts w:hint="eastAsia" w:ascii="楷体_GB2312" w:hAnsi="楷体_GB2312" w:eastAsia="楷体_GB2312" w:cs="楷体_GB2312"/>
          <w:bCs/>
          <w:color w:val="auto"/>
          <w:sz w:val="32"/>
          <w:szCs w:val="32"/>
          <w:lang w:val="zh-CN"/>
        </w:rPr>
        <w:t>6.</w:t>
      </w:r>
      <w:bookmarkEnd w:id="57"/>
      <w:bookmarkEnd w:id="58"/>
      <w:r>
        <w:rPr>
          <w:rFonts w:hint="eastAsia" w:ascii="楷体_GB2312" w:hAnsi="楷体_GB2312" w:eastAsia="楷体_GB2312" w:cs="楷体_GB2312"/>
          <w:color w:val="auto"/>
          <w:sz w:val="32"/>
          <w:szCs w:val="32"/>
          <w:lang w:val="zh-CN"/>
        </w:rPr>
        <w:t>坚持绿色发展、统筹推进。</w:t>
      </w:r>
      <w:r>
        <w:rPr>
          <w:rFonts w:hint="eastAsia" w:ascii="仿宋_GB2312" w:hAnsi="仿宋_GB2312" w:eastAsia="仿宋_GB2312" w:cs="仿宋_GB2312"/>
          <w:color w:val="auto"/>
          <w:sz w:val="32"/>
          <w:szCs w:val="32"/>
          <w:lang w:val="zh-CN"/>
        </w:rPr>
        <w:t>牢固树立绿水青山就是金山银山的理念，切实保护农村生态环境，统筹农村生态建设，展现农村生态特色，统筹山水林田湖草系统治理，把生态文明融入到政治、经济、文化、社会等各个领域，统筹推进农村生态建设、环境保护和综合治理，实现县域增绿、通道增色、村庄增景，以绿色发展引领乡村振兴。</w:t>
      </w:r>
      <w:bookmarkEnd w:id="59"/>
      <w:bookmarkStart w:id="60" w:name="_Toc31104"/>
    </w:p>
    <w:p w14:paraId="59FDA3A3">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ascii="黑体" w:hAnsi="黑体" w:eastAsia="黑体" w:cs="方正黑体_GBK"/>
          <w:bCs/>
          <w:color w:val="auto"/>
          <w:sz w:val="32"/>
          <w:szCs w:val="32"/>
        </w:rPr>
      </w:pPr>
      <w:r>
        <w:rPr>
          <w:rFonts w:hint="eastAsia" w:ascii="黑体" w:hAnsi="黑体" w:eastAsia="黑体" w:cs="方正黑体_GBK"/>
          <w:bCs/>
          <w:color w:val="auto"/>
          <w:sz w:val="32"/>
          <w:szCs w:val="32"/>
        </w:rPr>
        <w:t>三、</w:t>
      </w:r>
      <w:bookmarkStart w:id="61" w:name="_Toc10329"/>
      <w:bookmarkEnd w:id="61"/>
      <w:r>
        <w:rPr>
          <w:rFonts w:hint="eastAsia" w:ascii="黑体" w:hAnsi="黑体" w:eastAsia="黑体" w:cs="方正黑体_GBK"/>
          <w:bCs/>
          <w:color w:val="auto"/>
          <w:sz w:val="32"/>
          <w:szCs w:val="32"/>
        </w:rPr>
        <w:t>发展定位</w:t>
      </w:r>
      <w:bookmarkEnd w:id="60"/>
    </w:p>
    <w:p w14:paraId="2C5FBCC9">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以农业供给侧结构性改革为主线，以建设现代农业强市和乡村建设示范市为引领，创新驱动、改革发展，充分利用全市自然条件、山水环境、旅游资源、乡村文化的多样性，加快推进农业产业结构调整，大力发展优质粮食、绿色蔬菜、林果经济、健康养殖、绿色康养和全域旅游业，打造特优现代产业发展新体系，聚焦“十四五”发展目标，打造路带经济、产业板块、示范园区、宜居轴线，构建产城联动、生态为基、文化为魂的农业农村发展新格局，将运城建设成为：</w:t>
      </w:r>
    </w:p>
    <w:p w14:paraId="782B3F77">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——国家现代农业产业园区建设标杆市</w:t>
      </w:r>
      <w:bookmarkStart w:id="62" w:name="_Toc21596"/>
      <w:bookmarkEnd w:id="62"/>
    </w:p>
    <w:p w14:paraId="087E81B4">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——黄土高原生态宜居乡村建设示范市</w:t>
      </w:r>
    </w:p>
    <w:p w14:paraId="16FB4DF0">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——山西省率先实现农业现代化特优农业强市</w:t>
      </w:r>
    </w:p>
    <w:p w14:paraId="7FB89F9B">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——黄河流域百万亩高质量生态农业发展示范带</w:t>
      </w:r>
    </w:p>
    <w:p w14:paraId="7EA503AC">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——黄河金三角农林文旅康居融合发展创新区</w:t>
      </w:r>
    </w:p>
    <w:p w14:paraId="60AA648D">
      <w:pPr>
        <w:keepNext w:val="0"/>
        <w:keepLines w:val="0"/>
        <w:pageBreakBefore w:val="0"/>
        <w:widowControl w:val="0"/>
        <w:kinsoku/>
        <w:wordWrap/>
        <w:overflowPunct/>
        <w:topLinePunct w:val="0"/>
        <w:autoSpaceDE/>
        <w:autoSpaceDN/>
        <w:bidi w:val="0"/>
        <w:spacing w:line="650" w:lineRule="exact"/>
        <w:ind w:firstLine="640" w:firstLineChars="200"/>
        <w:textAlignment w:val="auto"/>
        <w:outlineLvl w:val="2"/>
        <w:rPr>
          <w:rFonts w:ascii="黑体" w:hAnsi="黑体" w:eastAsia="黑体" w:cs="方正黑体_GBK"/>
          <w:bCs/>
          <w:color w:val="auto"/>
          <w:sz w:val="32"/>
          <w:szCs w:val="32"/>
        </w:rPr>
      </w:pPr>
      <w:bookmarkStart w:id="63" w:name="_Toc25887"/>
      <w:r>
        <w:rPr>
          <w:rFonts w:hint="eastAsia" w:ascii="黑体" w:hAnsi="黑体" w:eastAsia="黑体" w:cs="方正黑体_GBK"/>
          <w:bCs/>
          <w:color w:val="auto"/>
          <w:sz w:val="32"/>
          <w:szCs w:val="32"/>
        </w:rPr>
        <w:t>四、发展目标</w:t>
      </w:r>
      <w:bookmarkEnd w:id="63"/>
    </w:p>
    <w:p w14:paraId="35EEE5B5">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仿宋_GB2312" w:hAnsi="仿宋_GB2312" w:eastAsia="仿宋_GB2312" w:cs="仿宋_GB2312"/>
          <w:color w:val="auto"/>
          <w:sz w:val="32"/>
          <w:szCs w:val="32"/>
          <w:lang w:val="zh-CN"/>
        </w:rPr>
        <w:t>围绕建设现代农业强市、乡村建设示范市，推进特色农业基地、农产品加工物流、休闲观光园区、美丽宜居乡村建设，努力拓展运城农业农村的功能与内涵，着力推进优质粮食、绿色蔬菜、干鲜果品、畜牧养殖、农产品加工和休闲观光等产业，建成一批具有区域规模优势、产业集群优势和市场品牌优势的农业生产示范基地；培育一批农民专业合作社、家庭农场、专业大户和农业社会化服务组织，构建新型农业经营主体；扶持一批产业关联度大、技术装备水平高、经济实力雄厚、带动能力强的农业龙头企业集群和产业化经营体系；打造一批现代化的电商平台，“互联网+农业”的物联网络，提升产品推介和网络营销能力，实现有形市场与互联网对农业领域的全覆盖；提升一批具有产业支撑、生态环境良好、服务功能健全的公园式美丽乡村。建成一批最具竞争力的粮菜生产重点县、果品生产大县、畜牧养殖强县、观光农业名县和美丽乡村建设特色县。</w:t>
      </w:r>
      <w:bookmarkStart w:id="64" w:name="_Toc3871"/>
      <w:bookmarkEnd w:id="64"/>
      <w:r>
        <w:rPr>
          <w:rFonts w:hint="eastAsia" w:ascii="仿宋_GB2312" w:hAnsi="仿宋_GB2312" w:eastAsia="仿宋_GB2312" w:cs="仿宋_GB2312"/>
          <w:color w:val="auto"/>
          <w:sz w:val="32"/>
          <w:szCs w:val="32"/>
          <w:lang w:val="zh-CN"/>
        </w:rPr>
        <w:t xml:space="preserve">  </w:t>
      </w:r>
      <w:bookmarkStart w:id="65" w:name="_Toc13336"/>
      <w:r>
        <w:rPr>
          <w:rFonts w:hint="eastAsia" w:ascii="仿宋_GB2312" w:hAnsi="仿宋_GB2312" w:eastAsia="仿宋_GB2312" w:cs="仿宋_GB2312"/>
          <w:color w:val="auto"/>
          <w:sz w:val="32"/>
          <w:szCs w:val="32"/>
          <w:lang w:val="zh-CN"/>
        </w:rPr>
        <w:t xml:space="preserve"> </w:t>
      </w:r>
    </w:p>
    <w:p w14:paraId="19FD2293">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楷体_GB2312" w:hAnsi="楷体_GB2312" w:eastAsia="楷体_GB2312" w:cs="楷体_GB2312"/>
          <w:color w:val="auto"/>
          <w:sz w:val="32"/>
          <w:szCs w:val="32"/>
          <w:lang w:val="zh-CN"/>
        </w:rPr>
        <w:t>全市农业综合实力实现新发展</w:t>
      </w:r>
      <w:r>
        <w:rPr>
          <w:rFonts w:hint="eastAsia" w:ascii="仿宋_GB2312" w:hAnsi="仿宋_GB2312" w:eastAsia="仿宋_GB2312" w:cs="仿宋_GB2312"/>
          <w:color w:val="auto"/>
          <w:sz w:val="32"/>
          <w:szCs w:val="32"/>
          <w:lang w:val="zh-CN"/>
        </w:rPr>
        <w:t>——按照乡村振兴战略的总体要求，围绕特优农业，努力拓宽全市农业的功能与内涵，着力推进优质粮食、特色果品、绿色蔬菜、健康养殖、道地药材、乡村旅游和农产品物流加工基地建设，建成一批具有区域规模优势、生产优势和市场优势的农业产业示范基地和产业园区，形成一批具有带动性的重点工程和重点项目。到2025年，全市农林牧渔业总产值达到</w:t>
      </w:r>
      <w:r>
        <w:rPr>
          <w:rFonts w:hint="eastAsia" w:ascii="仿宋_GB2312" w:hAnsi="仿宋_GB2312" w:eastAsia="仿宋_GB2312" w:cs="仿宋_GB2312"/>
          <w:color w:val="auto"/>
          <w:sz w:val="32"/>
          <w:szCs w:val="32"/>
          <w:lang w:val="en-US" w:eastAsia="zh-CN"/>
        </w:rPr>
        <w:t>819.3</w:t>
      </w:r>
      <w:r>
        <w:rPr>
          <w:rFonts w:hint="eastAsia" w:ascii="仿宋_GB2312" w:hAnsi="仿宋_GB2312" w:eastAsia="仿宋_GB2312" w:cs="仿宋_GB2312"/>
          <w:color w:val="auto"/>
          <w:sz w:val="32"/>
          <w:szCs w:val="32"/>
          <w:lang w:val="zh-CN"/>
        </w:rPr>
        <w:t>亿元，年均增长9%左右，粮食综合生产能力保持在</w:t>
      </w:r>
      <w:r>
        <w:rPr>
          <w:rFonts w:hint="eastAsia" w:ascii="仿宋_GB2312" w:hAnsi="仿宋_GB2312" w:eastAsia="仿宋_GB2312" w:cs="仿宋_GB2312"/>
          <w:color w:val="auto"/>
          <w:sz w:val="32"/>
          <w:szCs w:val="32"/>
          <w:lang w:val="en-US" w:eastAsia="zh-CN"/>
        </w:rPr>
        <w:t>28</w:t>
      </w:r>
      <w:r>
        <w:rPr>
          <w:rFonts w:hint="eastAsia" w:ascii="仿宋_GB2312" w:hAnsi="仿宋_GB2312" w:eastAsia="仿宋_GB2312" w:cs="仿宋_GB2312"/>
          <w:color w:val="auto"/>
          <w:sz w:val="32"/>
          <w:szCs w:val="32"/>
          <w:lang w:val="zh-CN"/>
        </w:rPr>
        <w:t>亿公斤，园林水果总产量达到700万吨，蔬菜总产量245万吨，水果出口量达到40万吨，全市种业总产值50亿元，设施农业总面积48.19万亩，率先实现畜牧业、加工物流业现代化，推动农业高质量发展。</w:t>
      </w:r>
    </w:p>
    <w:p w14:paraId="183DDFEB">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楷体_GB2312" w:hAnsi="楷体_GB2312" w:eastAsia="楷体_GB2312" w:cs="楷体_GB2312"/>
          <w:color w:val="auto"/>
          <w:sz w:val="32"/>
          <w:szCs w:val="32"/>
          <w:lang w:val="zh-CN"/>
        </w:rPr>
        <w:t>农业现代化水平实现新突破</w:t>
      </w:r>
      <w:r>
        <w:rPr>
          <w:rFonts w:hint="eastAsia" w:ascii="仿宋_GB2312" w:hAnsi="仿宋_GB2312" w:eastAsia="仿宋_GB2312" w:cs="仿宋_GB2312"/>
          <w:color w:val="auto"/>
          <w:sz w:val="32"/>
          <w:szCs w:val="32"/>
          <w:lang w:val="zh-CN"/>
        </w:rPr>
        <w:t>——全面加快推进农业现代化，实现“六新”化发展全面落地。到2025年，全市主要农作物耕种收综合机械化水平达到78.8%，农业有效灌溉面积690万亩，主要农作物化肥利用率</w:t>
      </w:r>
      <w:r>
        <w:rPr>
          <w:rFonts w:hint="eastAsia" w:ascii="仿宋_GB2312" w:hAnsi="仿宋_GB2312" w:eastAsia="仿宋_GB2312" w:cs="仿宋_GB2312"/>
          <w:color w:val="auto"/>
          <w:sz w:val="32"/>
          <w:szCs w:val="32"/>
          <w:lang w:val="en-US" w:eastAsia="zh-CN"/>
        </w:rPr>
        <w:t>43</w:t>
      </w:r>
      <w:r>
        <w:rPr>
          <w:rFonts w:hint="eastAsia" w:ascii="仿宋_GB2312" w:hAnsi="仿宋_GB2312" w:eastAsia="仿宋_GB2312" w:cs="仿宋_GB2312"/>
          <w:color w:val="auto"/>
          <w:sz w:val="32"/>
          <w:szCs w:val="32"/>
          <w:lang w:val="zh-CN"/>
        </w:rPr>
        <w:t>%，农业科技进步贡献率75%，农业标准化生产覆盖率50%，农产品质量安全检测检验合格率9</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lang w:val="zh-CN"/>
        </w:rPr>
        <w:t>%以上，农产品加工实现突破，农产品加工销售收入500亿元，带动全市实现产业深度融合，新创建区域公用品牌</w:t>
      </w:r>
      <w:r>
        <w:rPr>
          <w:rFonts w:hint="eastAsia" w:ascii="仿宋_GB2312" w:hAnsi="仿宋_GB2312" w:eastAsia="仿宋_GB2312" w:cs="仿宋_GB2312"/>
          <w:color w:val="auto"/>
          <w:sz w:val="32"/>
          <w:szCs w:val="32"/>
          <w:lang w:val="en-US" w:eastAsia="zh-CN"/>
        </w:rPr>
        <w:t>23</w:t>
      </w:r>
      <w:r>
        <w:rPr>
          <w:rFonts w:hint="eastAsia" w:ascii="仿宋_GB2312" w:hAnsi="仿宋_GB2312" w:eastAsia="仿宋_GB2312" w:cs="仿宋_GB2312"/>
          <w:color w:val="auto"/>
          <w:sz w:val="32"/>
          <w:szCs w:val="32"/>
          <w:lang w:val="zh-CN"/>
        </w:rPr>
        <w:t>个，以品牌农业推进全市农业现代化。一大批农民专业合作社、农业企业、家庭农场和专业大户成为新型农业经营主体。</w:t>
      </w:r>
    </w:p>
    <w:p w14:paraId="1D0BF904">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楷体_GB2312" w:hAnsi="楷体_GB2312" w:eastAsia="楷体_GB2312" w:cs="楷体_GB2312"/>
          <w:color w:val="auto"/>
          <w:sz w:val="32"/>
          <w:szCs w:val="32"/>
          <w:lang w:val="zh-CN"/>
        </w:rPr>
        <w:t>乡村建设取得新成效</w:t>
      </w:r>
      <w:r>
        <w:rPr>
          <w:rFonts w:hint="eastAsia" w:ascii="仿宋_GB2312" w:hAnsi="仿宋_GB2312" w:eastAsia="仿宋_GB2312" w:cs="仿宋_GB2312"/>
          <w:color w:val="auto"/>
          <w:sz w:val="32"/>
          <w:szCs w:val="32"/>
          <w:lang w:val="zh-CN"/>
        </w:rPr>
        <w:t>——实施全域生态绿化美化工程，建设绿水青山、人居和谐的美丽运城；推进农村环境整治不断深化，农村生态环境明显改善，绿色生产生活方式全面突进，农村建设管理标准体系健全完善，乡村生态文明制度基本确立；推进一批特色小镇、田园综合体、美丽示范村、特色风貌村的建设，并形成示范带动效应。到2025年，全市农村城镇化水平56%，每年建设100个乡村振兴示范村，村庄绿化覆盖率40%，生活垃圾有效处理率(行政村覆盖率)97%，农村生活污水处理率</w:t>
      </w:r>
      <w:r>
        <w:rPr>
          <w:rFonts w:hint="eastAsia" w:ascii="仿宋_GB2312" w:hAnsi="仿宋_GB2312" w:eastAsia="仿宋_GB2312" w:cs="仿宋_GB2312"/>
          <w:color w:val="auto"/>
          <w:sz w:val="32"/>
          <w:szCs w:val="32"/>
          <w:lang w:val="en-US" w:eastAsia="zh-CN"/>
        </w:rPr>
        <w:t>25</w:t>
      </w:r>
      <w:r>
        <w:rPr>
          <w:rFonts w:hint="eastAsia" w:ascii="仿宋_GB2312" w:hAnsi="仿宋_GB2312" w:eastAsia="仿宋_GB2312" w:cs="仿宋_GB2312"/>
          <w:color w:val="auto"/>
          <w:sz w:val="32"/>
          <w:szCs w:val="32"/>
          <w:lang w:val="zh-CN"/>
        </w:rPr>
        <w:t>%，农村卫生厕所普及率92%以上，村民对环境的满意度达到85%以上。</w:t>
      </w:r>
    </w:p>
    <w:p w14:paraId="08E888BB">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楷体_GB2312" w:hAnsi="楷体_GB2312" w:eastAsia="楷体_GB2312" w:cs="楷体_GB2312"/>
          <w:color w:val="auto"/>
          <w:sz w:val="32"/>
          <w:szCs w:val="32"/>
          <w:lang w:val="zh-CN"/>
        </w:rPr>
        <w:t>乡村文明与乡村治理取得新进展</w:t>
      </w:r>
      <w:r>
        <w:rPr>
          <w:rFonts w:hint="eastAsia" w:ascii="仿宋_GB2312" w:hAnsi="仿宋_GB2312" w:eastAsia="仿宋_GB2312" w:cs="仿宋_GB2312"/>
          <w:color w:val="auto"/>
          <w:sz w:val="32"/>
          <w:szCs w:val="32"/>
          <w:lang w:val="zh-CN"/>
        </w:rPr>
        <w:t>——以乡村文化振兴推动乡风文明建设和乡村有效治理，形成乡风文明、家风良好、民风淳朴的良好风尚，保护和传承优秀的历史文化、民俗文化，形成一批标志性文化产业和文旅结合载体，提升运城古中国文化品牌影响力；建立健全现代乡村治理体系，党对农村工作的领导进一步提升，全面推进乡村自治、法治和德治，遵纪守法成为风尚；农村集体经济发展实现重大突破，并成为乡村振兴的重要推动力。到2025年，全市农村文体设施完善率99%，村民自治制度完善率95%，法制教育普及率95%，以德治村群众满意度92%，形成农村安全和谐、农民安居乐业、社会安定有序的新格局，创建运城市农村治理的示范榜样。</w:t>
      </w:r>
    </w:p>
    <w:p w14:paraId="77D67347">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zh-CN"/>
        </w:rPr>
      </w:pPr>
      <w:r>
        <w:rPr>
          <w:rFonts w:hint="eastAsia" w:ascii="楷体_GB2312" w:hAnsi="楷体_GB2312" w:eastAsia="楷体_GB2312" w:cs="楷体_GB2312"/>
          <w:color w:val="auto"/>
          <w:sz w:val="32"/>
          <w:szCs w:val="32"/>
          <w:lang w:val="zh-CN"/>
        </w:rPr>
        <w:t>农民生活富裕迈出新步伐</w:t>
      </w:r>
      <w:r>
        <w:rPr>
          <w:rFonts w:hint="eastAsia" w:ascii="仿宋_GB2312" w:hAnsi="仿宋_GB2312" w:eastAsia="仿宋_GB2312" w:cs="仿宋_GB2312"/>
          <w:color w:val="auto"/>
          <w:sz w:val="32"/>
          <w:szCs w:val="32"/>
          <w:lang w:val="zh-CN"/>
        </w:rPr>
        <w:t>——多渠道开拓农民增收途径，提高农民就业质量。大力创造返乡农民就业环境，提升农民生活幸福指数。到2025年，全市农民人均可支配收入达到20000元</w:t>
      </w:r>
      <w:r>
        <w:rPr>
          <w:rFonts w:hint="eastAsia" w:ascii="仿宋_GB2312" w:hAnsi="仿宋_GB2312" w:eastAsia="仿宋_GB2312" w:cs="仿宋_GB2312"/>
          <w:color w:val="auto"/>
          <w:sz w:val="32"/>
          <w:szCs w:val="32"/>
          <w:lang w:val="en-US" w:eastAsia="zh-CN"/>
        </w:rPr>
        <w:t>以上</w:t>
      </w:r>
      <w:r>
        <w:rPr>
          <w:rFonts w:hint="eastAsia" w:ascii="仿宋_GB2312" w:hAnsi="仿宋_GB2312" w:eastAsia="仿宋_GB2312" w:cs="仿宋_GB2312"/>
          <w:color w:val="auto"/>
          <w:sz w:val="32"/>
          <w:szCs w:val="32"/>
          <w:lang w:val="zh-CN"/>
        </w:rPr>
        <w:t>，农村基础设施完善率达到9</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val="zh-CN"/>
        </w:rPr>
        <w:t>%以上；完成农村基础教育体系的合理布局，农村劳动力年培训人数占劳动力总数的20%以上；老年人日间照料中心村实现全覆盖，农村社会保障体系得到极大提升。</w:t>
      </w:r>
    </w:p>
    <w:p w14:paraId="3C7A3013">
      <w:pPr>
        <w:keepNext w:val="0"/>
        <w:keepLines w:val="0"/>
        <w:pageBreakBefore w:val="0"/>
        <w:widowControl w:val="0"/>
        <w:kinsoku/>
        <w:wordWrap/>
        <w:overflowPunct/>
        <w:topLinePunct w:val="0"/>
        <w:autoSpaceDE/>
        <w:autoSpaceDN/>
        <w:bidi w:val="0"/>
        <w:spacing w:line="650" w:lineRule="exact"/>
        <w:ind w:firstLine="640" w:firstLineChars="200"/>
        <w:textAlignment w:val="auto"/>
        <w:rPr>
          <w:rFonts w:hint="eastAsia" w:ascii="仿宋_GB2312" w:hAnsi="仿宋_GB2312" w:eastAsia="仿宋_GB2312" w:cs="仿宋_GB2312"/>
          <w:b w:val="0"/>
          <w:bCs w:val="0"/>
          <w:color w:val="auto"/>
          <w:sz w:val="32"/>
          <w:szCs w:val="32"/>
        </w:rPr>
      </w:pPr>
      <w:r>
        <w:rPr>
          <w:rFonts w:hint="eastAsia" w:ascii="楷体_GB2312" w:hAnsi="楷体_GB2312" w:eastAsia="楷体_GB2312" w:cs="楷体_GB2312"/>
          <w:color w:val="auto"/>
          <w:sz w:val="32"/>
          <w:szCs w:val="32"/>
          <w:lang w:val="zh-CN"/>
        </w:rPr>
        <w:t>农村改革创出新局面</w:t>
      </w:r>
      <w:r>
        <w:rPr>
          <w:rFonts w:hint="eastAsia" w:ascii="仿宋_GB2312" w:hAnsi="仿宋_GB2312" w:eastAsia="仿宋_GB2312" w:cs="仿宋_GB2312"/>
          <w:color w:val="auto"/>
          <w:sz w:val="32"/>
          <w:szCs w:val="32"/>
          <w:lang w:val="zh-CN"/>
        </w:rPr>
        <w:t>——努力构建乡村振兴的机制体制，创新农村经营体制，实施农村宅基地改革“三权”分置，农民经营性收入、财产性收入和集体收入达到新水平。到2025年，全市集体经济年收入</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lang w:val="zh-CN"/>
        </w:rPr>
        <w:t>万元以上的村覆盖率达到</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lang w:val="zh-CN"/>
        </w:rPr>
        <w:t>0%，人才培育引进机制，投融资机制、政策支持机制得到大提升，以创新驱动促进乡村振兴的大发展。</w:t>
      </w:r>
    </w:p>
    <w:p w14:paraId="4BB0B5A4">
      <w:pPr>
        <w:rPr>
          <w:rFonts w:hint="eastAsia" w:ascii="方正小标宋简体" w:hAnsi="仿宋" w:eastAsia="方正小标宋简体" w:cs="仿宋"/>
          <w:bCs/>
          <w:color w:val="auto"/>
          <w:sz w:val="32"/>
          <w:szCs w:val="32"/>
        </w:rPr>
      </w:pPr>
      <w:r>
        <w:rPr>
          <w:rFonts w:hint="eastAsia" w:ascii="方正小标宋简体" w:hAnsi="仿宋" w:eastAsia="方正小标宋简体" w:cs="仿宋"/>
          <w:bCs/>
          <w:color w:val="auto"/>
          <w:sz w:val="32"/>
          <w:szCs w:val="32"/>
        </w:rPr>
        <w:br w:type="page"/>
      </w:r>
    </w:p>
    <w:p w14:paraId="066F26FC">
      <w:pPr>
        <w:spacing w:line="240" w:lineRule="auto"/>
        <w:jc w:val="center"/>
        <w:rPr>
          <w:rFonts w:ascii="方正小标宋简体" w:hAnsi="仿宋" w:eastAsia="方正小标宋简体" w:cs="仿宋"/>
          <w:bCs/>
          <w:color w:val="auto"/>
          <w:sz w:val="32"/>
          <w:szCs w:val="32"/>
        </w:rPr>
      </w:pPr>
      <w:r>
        <w:rPr>
          <w:rFonts w:hint="eastAsia" w:ascii="方正小标宋简体" w:hAnsi="仿宋" w:eastAsia="方正小标宋简体" w:cs="仿宋"/>
          <w:bCs/>
          <w:color w:val="auto"/>
          <w:sz w:val="32"/>
          <w:szCs w:val="32"/>
        </w:rPr>
        <w:t>运城市“十四五”农业农村发展指标一览表</w:t>
      </w:r>
      <w:bookmarkEnd w:id="65"/>
    </w:p>
    <w:tbl>
      <w:tblPr>
        <w:tblStyle w:val="22"/>
        <w:tblpPr w:leftFromText="180" w:rightFromText="180" w:vertAnchor="text" w:tblpXSpec="center" w:tblpY="1"/>
        <w:tblOverlap w:val="never"/>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578"/>
        <w:gridCol w:w="3862"/>
        <w:gridCol w:w="1113"/>
        <w:gridCol w:w="1300"/>
        <w:gridCol w:w="1278"/>
        <w:gridCol w:w="841"/>
      </w:tblGrid>
      <w:tr w14:paraId="5DCC5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blHeader/>
          <w:jc w:val="center"/>
        </w:trPr>
        <w:tc>
          <w:tcPr>
            <w:tcW w:w="577" w:type="dxa"/>
            <w:vAlign w:val="center"/>
          </w:tcPr>
          <w:p w14:paraId="3A283920">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分类</w:t>
            </w:r>
          </w:p>
        </w:tc>
        <w:tc>
          <w:tcPr>
            <w:tcW w:w="578" w:type="dxa"/>
            <w:vAlign w:val="center"/>
          </w:tcPr>
          <w:p w14:paraId="11315303">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序号</w:t>
            </w:r>
          </w:p>
        </w:tc>
        <w:tc>
          <w:tcPr>
            <w:tcW w:w="3862" w:type="dxa"/>
            <w:vAlign w:val="center"/>
          </w:tcPr>
          <w:p w14:paraId="15A26160">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主要指标</w:t>
            </w:r>
          </w:p>
        </w:tc>
        <w:tc>
          <w:tcPr>
            <w:tcW w:w="1113" w:type="dxa"/>
            <w:vAlign w:val="center"/>
          </w:tcPr>
          <w:p w14:paraId="4315E973">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单位</w:t>
            </w:r>
          </w:p>
        </w:tc>
        <w:tc>
          <w:tcPr>
            <w:tcW w:w="1300" w:type="dxa"/>
            <w:vAlign w:val="center"/>
          </w:tcPr>
          <w:p w14:paraId="67056CDF">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2020年</w:t>
            </w:r>
          </w:p>
          <w:p w14:paraId="4E11E5CA">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基期值</w:t>
            </w:r>
          </w:p>
        </w:tc>
        <w:tc>
          <w:tcPr>
            <w:tcW w:w="1278" w:type="dxa"/>
            <w:vAlign w:val="center"/>
          </w:tcPr>
          <w:p w14:paraId="5860F2DD">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2025年</w:t>
            </w:r>
          </w:p>
          <w:p w14:paraId="074CDEC6">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目标值</w:t>
            </w:r>
          </w:p>
        </w:tc>
        <w:tc>
          <w:tcPr>
            <w:tcW w:w="841" w:type="dxa"/>
            <w:vAlign w:val="center"/>
          </w:tcPr>
          <w:p w14:paraId="75C07739">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备注</w:t>
            </w:r>
          </w:p>
        </w:tc>
      </w:tr>
      <w:tr w14:paraId="1A26D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restart"/>
            <w:vAlign w:val="center"/>
          </w:tcPr>
          <w:p w14:paraId="327A2C99">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农业</w:t>
            </w:r>
          </w:p>
          <w:p w14:paraId="31FD2791">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综合生产能力</w:t>
            </w:r>
          </w:p>
          <w:p w14:paraId="72DB75F4">
            <w:pPr>
              <w:spacing w:line="300" w:lineRule="exact"/>
              <w:jc w:val="center"/>
              <w:rPr>
                <w:rFonts w:hint="eastAsia" w:ascii="仿宋_GB2312" w:hAnsi="仿宋_GB2312" w:eastAsia="仿宋_GB2312" w:cs="仿宋_GB2312"/>
                <w:color w:val="auto"/>
                <w:sz w:val="28"/>
                <w:szCs w:val="28"/>
              </w:rPr>
            </w:pPr>
          </w:p>
          <w:p w14:paraId="73D29C9A">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4CA30A9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862" w:type="dxa"/>
            <w:vAlign w:val="center"/>
          </w:tcPr>
          <w:p w14:paraId="1596A92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农林牧渔业总产值</w:t>
            </w:r>
          </w:p>
        </w:tc>
        <w:tc>
          <w:tcPr>
            <w:tcW w:w="1113" w:type="dxa"/>
            <w:vAlign w:val="center"/>
          </w:tcPr>
          <w:p w14:paraId="24EB97A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亿元</w:t>
            </w:r>
          </w:p>
        </w:tc>
        <w:tc>
          <w:tcPr>
            <w:tcW w:w="1300" w:type="dxa"/>
            <w:vAlign w:val="center"/>
          </w:tcPr>
          <w:p w14:paraId="499AABA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532.5</w:t>
            </w:r>
          </w:p>
        </w:tc>
        <w:tc>
          <w:tcPr>
            <w:tcW w:w="1278" w:type="dxa"/>
            <w:vAlign w:val="center"/>
          </w:tcPr>
          <w:p w14:paraId="40223F0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8</w:t>
            </w:r>
            <w:r>
              <w:rPr>
                <w:rFonts w:hint="eastAsia" w:ascii="仿宋_GB2312" w:hAnsi="仿宋_GB2312" w:eastAsia="仿宋_GB2312" w:cs="仿宋_GB2312"/>
                <w:color w:val="auto"/>
                <w:sz w:val="28"/>
                <w:szCs w:val="28"/>
                <w:lang w:val="en-US" w:eastAsia="zh-CN"/>
              </w:rPr>
              <w:t>19.3</w:t>
            </w:r>
          </w:p>
        </w:tc>
        <w:tc>
          <w:tcPr>
            <w:tcW w:w="841" w:type="dxa"/>
            <w:vAlign w:val="center"/>
          </w:tcPr>
          <w:p w14:paraId="0BB043AF">
            <w:pPr>
              <w:spacing w:line="300" w:lineRule="exact"/>
              <w:jc w:val="center"/>
              <w:rPr>
                <w:rFonts w:hint="eastAsia" w:ascii="仿宋_GB2312" w:hAnsi="仿宋_GB2312" w:eastAsia="仿宋_GB2312" w:cs="仿宋_GB2312"/>
                <w:color w:val="auto"/>
                <w:sz w:val="28"/>
                <w:szCs w:val="28"/>
                <w:shd w:val="clear" w:color="FFFFFF" w:fill="D9D9D9"/>
              </w:rPr>
            </w:pPr>
          </w:p>
        </w:tc>
      </w:tr>
      <w:tr w14:paraId="4FFD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41314BDB">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2AA86B4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3862" w:type="dxa"/>
            <w:vAlign w:val="center"/>
          </w:tcPr>
          <w:p w14:paraId="4471AB6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农村居民人均可支配收入</w:t>
            </w:r>
          </w:p>
        </w:tc>
        <w:tc>
          <w:tcPr>
            <w:tcW w:w="1113" w:type="dxa"/>
            <w:vAlign w:val="center"/>
          </w:tcPr>
          <w:p w14:paraId="19B01FD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元</w:t>
            </w:r>
          </w:p>
        </w:tc>
        <w:tc>
          <w:tcPr>
            <w:tcW w:w="1300" w:type="dxa"/>
            <w:vAlign w:val="center"/>
          </w:tcPr>
          <w:p w14:paraId="6DB4E25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12947</w:t>
            </w:r>
          </w:p>
        </w:tc>
        <w:tc>
          <w:tcPr>
            <w:tcW w:w="1278" w:type="dxa"/>
            <w:vAlign w:val="center"/>
          </w:tcPr>
          <w:p w14:paraId="40C9DF8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20000</w:t>
            </w:r>
          </w:p>
        </w:tc>
        <w:tc>
          <w:tcPr>
            <w:tcW w:w="841" w:type="dxa"/>
            <w:vAlign w:val="center"/>
          </w:tcPr>
          <w:p w14:paraId="72FD9F86">
            <w:pPr>
              <w:spacing w:line="300" w:lineRule="exact"/>
              <w:rPr>
                <w:rFonts w:hint="eastAsia" w:ascii="仿宋_GB2312" w:hAnsi="仿宋_GB2312" w:eastAsia="仿宋_GB2312" w:cs="仿宋_GB2312"/>
                <w:color w:val="auto"/>
                <w:sz w:val="28"/>
                <w:szCs w:val="28"/>
              </w:rPr>
            </w:pPr>
          </w:p>
        </w:tc>
      </w:tr>
      <w:tr w14:paraId="57A69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21CE5397">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0984E7C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3862" w:type="dxa"/>
            <w:vAlign w:val="center"/>
          </w:tcPr>
          <w:p w14:paraId="303CD5D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粮食播种总面积</w:t>
            </w:r>
          </w:p>
        </w:tc>
        <w:tc>
          <w:tcPr>
            <w:tcW w:w="1113" w:type="dxa"/>
            <w:vAlign w:val="center"/>
          </w:tcPr>
          <w:p w14:paraId="1971CEE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万亩</w:t>
            </w:r>
          </w:p>
        </w:tc>
        <w:tc>
          <w:tcPr>
            <w:tcW w:w="1300" w:type="dxa"/>
            <w:vAlign w:val="center"/>
          </w:tcPr>
          <w:p w14:paraId="5392B94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803.5</w:t>
            </w:r>
          </w:p>
        </w:tc>
        <w:tc>
          <w:tcPr>
            <w:tcW w:w="1278" w:type="dxa"/>
            <w:vAlign w:val="center"/>
          </w:tcPr>
          <w:p w14:paraId="77D82FC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800</w:t>
            </w:r>
          </w:p>
        </w:tc>
        <w:tc>
          <w:tcPr>
            <w:tcW w:w="841" w:type="dxa"/>
            <w:vAlign w:val="center"/>
          </w:tcPr>
          <w:p w14:paraId="3B52AE4F">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r>
      <w:tr w14:paraId="2EE89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22716A82">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699412A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3862" w:type="dxa"/>
            <w:vAlign w:val="center"/>
          </w:tcPr>
          <w:p w14:paraId="1F1CE7C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shd w:val="clear" w:color="auto" w:fill="auto"/>
              </w:rPr>
            </w:pPr>
            <w:r>
              <w:rPr>
                <w:rFonts w:hint="eastAsia" w:ascii="仿宋_GB2312" w:hAnsi="仿宋_GB2312" w:eastAsia="仿宋_GB2312" w:cs="仿宋_GB2312"/>
                <w:color w:val="auto"/>
                <w:sz w:val="28"/>
                <w:szCs w:val="28"/>
                <w:shd w:val="clear" w:color="auto" w:fill="auto"/>
              </w:rPr>
              <w:t>粮食综合生产能力</w:t>
            </w:r>
          </w:p>
        </w:tc>
        <w:tc>
          <w:tcPr>
            <w:tcW w:w="1113" w:type="dxa"/>
            <w:vAlign w:val="center"/>
          </w:tcPr>
          <w:p w14:paraId="32AFC82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shd w:val="clear" w:color="auto" w:fill="auto"/>
                <w:lang w:eastAsia="zh-CN"/>
              </w:rPr>
            </w:pPr>
            <w:r>
              <w:rPr>
                <w:rFonts w:hint="eastAsia" w:ascii="仿宋_GB2312" w:hAnsi="仿宋_GB2312" w:eastAsia="仿宋_GB2312" w:cs="仿宋_GB2312"/>
                <w:color w:val="auto"/>
                <w:sz w:val="24"/>
                <w:szCs w:val="24"/>
                <w:lang w:eastAsia="zh-CN"/>
              </w:rPr>
              <w:t>亿公斤</w:t>
            </w:r>
          </w:p>
        </w:tc>
        <w:tc>
          <w:tcPr>
            <w:tcW w:w="1300" w:type="dxa"/>
            <w:vAlign w:val="center"/>
          </w:tcPr>
          <w:p w14:paraId="75CAE11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shd w:val="clear" w:color="auto" w:fill="auto"/>
              </w:rPr>
            </w:pPr>
            <w:r>
              <w:rPr>
                <w:rFonts w:hint="eastAsia" w:ascii="仿宋_GB2312" w:hAnsi="仿宋_GB2312" w:eastAsia="仿宋_GB2312" w:cs="仿宋_GB2312"/>
                <w:color w:val="auto"/>
                <w:sz w:val="28"/>
                <w:szCs w:val="28"/>
                <w:shd w:val="clear" w:color="auto" w:fill="auto"/>
              </w:rPr>
              <w:t>28.2</w:t>
            </w:r>
          </w:p>
        </w:tc>
        <w:tc>
          <w:tcPr>
            <w:tcW w:w="1278" w:type="dxa"/>
            <w:vAlign w:val="center"/>
          </w:tcPr>
          <w:p w14:paraId="4C8E16E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shd w:val="clear" w:color="auto" w:fill="auto"/>
                <w:lang w:eastAsia="zh-CN"/>
              </w:rPr>
            </w:pPr>
            <w:r>
              <w:rPr>
                <w:rFonts w:hint="eastAsia" w:ascii="仿宋_GB2312" w:hAnsi="仿宋_GB2312" w:eastAsia="仿宋_GB2312" w:cs="仿宋_GB2312"/>
                <w:color w:val="auto"/>
                <w:sz w:val="28"/>
                <w:szCs w:val="28"/>
                <w:shd w:val="clear" w:color="auto" w:fill="auto"/>
              </w:rPr>
              <w:t>2</w:t>
            </w:r>
            <w:r>
              <w:rPr>
                <w:rFonts w:hint="eastAsia" w:ascii="仿宋_GB2312" w:hAnsi="仿宋_GB2312" w:eastAsia="仿宋_GB2312" w:cs="仿宋_GB2312"/>
                <w:color w:val="auto"/>
                <w:sz w:val="28"/>
                <w:szCs w:val="28"/>
                <w:shd w:val="clear" w:color="auto" w:fill="auto"/>
                <w:lang w:val="en-US" w:eastAsia="zh-CN"/>
              </w:rPr>
              <w:t>8</w:t>
            </w:r>
          </w:p>
        </w:tc>
        <w:tc>
          <w:tcPr>
            <w:tcW w:w="841" w:type="dxa"/>
            <w:vAlign w:val="center"/>
          </w:tcPr>
          <w:p w14:paraId="44CB2A87">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r>
      <w:tr w14:paraId="561A9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55323C63">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0F19A3A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3862" w:type="dxa"/>
            <w:vAlign w:val="center"/>
          </w:tcPr>
          <w:p w14:paraId="7706776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园林水果种植总面积</w:t>
            </w:r>
          </w:p>
        </w:tc>
        <w:tc>
          <w:tcPr>
            <w:tcW w:w="1113" w:type="dxa"/>
            <w:vAlign w:val="center"/>
          </w:tcPr>
          <w:p w14:paraId="4145D9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万亩</w:t>
            </w:r>
          </w:p>
        </w:tc>
        <w:tc>
          <w:tcPr>
            <w:tcW w:w="1300" w:type="dxa"/>
            <w:vAlign w:val="center"/>
          </w:tcPr>
          <w:p w14:paraId="0420296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298</w:t>
            </w:r>
          </w:p>
        </w:tc>
        <w:tc>
          <w:tcPr>
            <w:tcW w:w="1278" w:type="dxa"/>
            <w:vAlign w:val="center"/>
          </w:tcPr>
          <w:p w14:paraId="16C4803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r>
              <w:rPr>
                <w:rFonts w:hint="eastAsia" w:ascii="仿宋_GB2312" w:hAnsi="仿宋_GB2312" w:eastAsia="仿宋_GB2312" w:cs="仿宋_GB2312"/>
                <w:color w:val="auto"/>
                <w:sz w:val="28"/>
                <w:szCs w:val="28"/>
                <w:lang w:val="en-US" w:eastAsia="zh-CN"/>
              </w:rPr>
              <w:t>0</w:t>
            </w:r>
            <w:r>
              <w:rPr>
                <w:rFonts w:hint="eastAsia" w:ascii="仿宋_GB2312" w:hAnsi="仿宋_GB2312" w:eastAsia="仿宋_GB2312" w:cs="仿宋_GB2312"/>
                <w:color w:val="auto"/>
                <w:sz w:val="28"/>
                <w:szCs w:val="28"/>
              </w:rPr>
              <w:t>0</w:t>
            </w:r>
          </w:p>
        </w:tc>
        <w:tc>
          <w:tcPr>
            <w:tcW w:w="841" w:type="dxa"/>
            <w:vAlign w:val="center"/>
          </w:tcPr>
          <w:p w14:paraId="5C149FAE">
            <w:pPr>
              <w:spacing w:line="300" w:lineRule="exact"/>
              <w:jc w:val="center"/>
              <w:rPr>
                <w:rFonts w:hint="eastAsia" w:ascii="仿宋_GB2312" w:hAnsi="仿宋_GB2312" w:eastAsia="仿宋_GB2312" w:cs="仿宋_GB2312"/>
                <w:color w:val="auto"/>
                <w:sz w:val="28"/>
                <w:szCs w:val="28"/>
              </w:rPr>
            </w:pPr>
          </w:p>
        </w:tc>
      </w:tr>
      <w:tr w14:paraId="5F91D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A8A29A4">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6ADA866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3862" w:type="dxa"/>
            <w:vAlign w:val="center"/>
          </w:tcPr>
          <w:p w14:paraId="7BDC4E1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园林水果总产量</w:t>
            </w:r>
          </w:p>
        </w:tc>
        <w:tc>
          <w:tcPr>
            <w:tcW w:w="1113" w:type="dxa"/>
            <w:vAlign w:val="center"/>
          </w:tcPr>
          <w:p w14:paraId="60B11F1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万吨</w:t>
            </w:r>
          </w:p>
        </w:tc>
        <w:tc>
          <w:tcPr>
            <w:tcW w:w="1300" w:type="dxa"/>
            <w:vAlign w:val="center"/>
          </w:tcPr>
          <w:p w14:paraId="1399D1B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6</w:t>
            </w:r>
            <w:r>
              <w:rPr>
                <w:rFonts w:hint="eastAsia" w:ascii="仿宋_GB2312" w:hAnsi="仿宋_GB2312" w:eastAsia="仿宋_GB2312" w:cs="仿宋_GB2312"/>
                <w:color w:val="auto"/>
                <w:sz w:val="28"/>
                <w:szCs w:val="28"/>
                <w:lang w:val="en-US" w:eastAsia="zh-CN"/>
              </w:rPr>
              <w:t>85.1</w:t>
            </w:r>
          </w:p>
        </w:tc>
        <w:tc>
          <w:tcPr>
            <w:tcW w:w="1278" w:type="dxa"/>
            <w:vAlign w:val="center"/>
          </w:tcPr>
          <w:p w14:paraId="0179704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700</w:t>
            </w:r>
          </w:p>
        </w:tc>
        <w:tc>
          <w:tcPr>
            <w:tcW w:w="841" w:type="dxa"/>
            <w:vAlign w:val="center"/>
          </w:tcPr>
          <w:p w14:paraId="32BE043E">
            <w:pPr>
              <w:spacing w:line="300" w:lineRule="exact"/>
              <w:jc w:val="center"/>
              <w:rPr>
                <w:rFonts w:hint="eastAsia" w:ascii="仿宋_GB2312" w:hAnsi="仿宋_GB2312" w:eastAsia="仿宋_GB2312" w:cs="仿宋_GB2312"/>
                <w:color w:val="auto"/>
                <w:sz w:val="28"/>
                <w:szCs w:val="28"/>
              </w:rPr>
            </w:pPr>
          </w:p>
        </w:tc>
      </w:tr>
      <w:tr w14:paraId="14D28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A607497">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3C09971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3862" w:type="dxa"/>
            <w:vAlign w:val="center"/>
          </w:tcPr>
          <w:p w14:paraId="2FE4C06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蔬菜</w:t>
            </w:r>
            <w:r>
              <w:rPr>
                <w:rFonts w:hint="eastAsia" w:ascii="仿宋_GB2312" w:hAnsi="仿宋_GB2312" w:eastAsia="仿宋_GB2312" w:cs="仿宋_GB2312"/>
                <w:color w:val="auto"/>
                <w:sz w:val="28"/>
                <w:szCs w:val="28"/>
                <w:lang w:eastAsia="zh-CN"/>
              </w:rPr>
              <w:t>播种</w:t>
            </w:r>
            <w:r>
              <w:rPr>
                <w:rFonts w:hint="eastAsia" w:ascii="仿宋_GB2312" w:hAnsi="仿宋_GB2312" w:eastAsia="仿宋_GB2312" w:cs="仿宋_GB2312"/>
                <w:color w:val="auto"/>
                <w:sz w:val="28"/>
                <w:szCs w:val="28"/>
              </w:rPr>
              <w:t>总面积</w:t>
            </w:r>
          </w:p>
        </w:tc>
        <w:tc>
          <w:tcPr>
            <w:tcW w:w="1113" w:type="dxa"/>
            <w:vAlign w:val="center"/>
          </w:tcPr>
          <w:p w14:paraId="2F8750C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万亩</w:t>
            </w:r>
          </w:p>
        </w:tc>
        <w:tc>
          <w:tcPr>
            <w:tcW w:w="1300" w:type="dxa"/>
            <w:vAlign w:val="center"/>
          </w:tcPr>
          <w:p w14:paraId="258CCC0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69.4</w:t>
            </w:r>
          </w:p>
        </w:tc>
        <w:tc>
          <w:tcPr>
            <w:tcW w:w="1278" w:type="dxa"/>
            <w:vAlign w:val="center"/>
          </w:tcPr>
          <w:p w14:paraId="4E30E92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80</w:t>
            </w:r>
          </w:p>
        </w:tc>
        <w:tc>
          <w:tcPr>
            <w:tcW w:w="841" w:type="dxa"/>
            <w:vAlign w:val="center"/>
          </w:tcPr>
          <w:p w14:paraId="78009C06">
            <w:pPr>
              <w:spacing w:line="300" w:lineRule="exact"/>
              <w:jc w:val="center"/>
              <w:rPr>
                <w:rFonts w:hint="eastAsia" w:ascii="仿宋_GB2312" w:hAnsi="仿宋_GB2312" w:eastAsia="仿宋_GB2312" w:cs="仿宋_GB2312"/>
                <w:color w:val="auto"/>
                <w:sz w:val="28"/>
                <w:szCs w:val="28"/>
              </w:rPr>
            </w:pPr>
          </w:p>
        </w:tc>
      </w:tr>
      <w:tr w14:paraId="0C286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8CB9F12">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42463A4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3862" w:type="dxa"/>
            <w:vAlign w:val="center"/>
          </w:tcPr>
          <w:p w14:paraId="28934F5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蔬菜总产量</w:t>
            </w:r>
          </w:p>
        </w:tc>
        <w:tc>
          <w:tcPr>
            <w:tcW w:w="1113" w:type="dxa"/>
            <w:vAlign w:val="center"/>
          </w:tcPr>
          <w:p w14:paraId="5C312A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万吨</w:t>
            </w:r>
          </w:p>
        </w:tc>
        <w:tc>
          <w:tcPr>
            <w:tcW w:w="1300" w:type="dxa"/>
            <w:vAlign w:val="center"/>
          </w:tcPr>
          <w:p w14:paraId="08F1792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213</w:t>
            </w:r>
          </w:p>
        </w:tc>
        <w:tc>
          <w:tcPr>
            <w:tcW w:w="1278" w:type="dxa"/>
            <w:vAlign w:val="center"/>
          </w:tcPr>
          <w:p w14:paraId="47F608E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245</w:t>
            </w:r>
          </w:p>
        </w:tc>
        <w:tc>
          <w:tcPr>
            <w:tcW w:w="841" w:type="dxa"/>
            <w:vAlign w:val="center"/>
          </w:tcPr>
          <w:p w14:paraId="314AF3FC">
            <w:pPr>
              <w:spacing w:line="300" w:lineRule="exact"/>
              <w:jc w:val="center"/>
              <w:rPr>
                <w:rFonts w:hint="eastAsia" w:ascii="仿宋_GB2312" w:hAnsi="仿宋_GB2312" w:eastAsia="仿宋_GB2312" w:cs="仿宋_GB2312"/>
                <w:color w:val="auto"/>
                <w:sz w:val="28"/>
                <w:szCs w:val="28"/>
              </w:rPr>
            </w:pPr>
          </w:p>
        </w:tc>
      </w:tr>
      <w:tr w14:paraId="0F40F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C0B26C5">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5572D48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3862" w:type="dxa"/>
            <w:vAlign w:val="center"/>
          </w:tcPr>
          <w:p w14:paraId="49D0D1A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肉蛋奶产量</w:t>
            </w:r>
          </w:p>
        </w:tc>
        <w:tc>
          <w:tcPr>
            <w:tcW w:w="1113" w:type="dxa"/>
            <w:vAlign w:val="center"/>
          </w:tcPr>
          <w:p w14:paraId="588412C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万吨</w:t>
            </w:r>
          </w:p>
        </w:tc>
        <w:tc>
          <w:tcPr>
            <w:tcW w:w="1300" w:type="dxa"/>
            <w:vAlign w:val="center"/>
          </w:tcPr>
          <w:p w14:paraId="3E27679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43.9</w:t>
            </w:r>
          </w:p>
        </w:tc>
        <w:tc>
          <w:tcPr>
            <w:tcW w:w="1278" w:type="dxa"/>
            <w:vAlign w:val="center"/>
          </w:tcPr>
          <w:p w14:paraId="05AD68C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65</w:t>
            </w:r>
          </w:p>
        </w:tc>
        <w:tc>
          <w:tcPr>
            <w:tcW w:w="841" w:type="dxa"/>
            <w:vAlign w:val="center"/>
          </w:tcPr>
          <w:p w14:paraId="065BFDB6">
            <w:pPr>
              <w:spacing w:line="300" w:lineRule="exact"/>
              <w:jc w:val="center"/>
              <w:rPr>
                <w:rFonts w:hint="eastAsia" w:ascii="仿宋_GB2312" w:hAnsi="仿宋_GB2312" w:eastAsia="仿宋_GB2312" w:cs="仿宋_GB2312"/>
                <w:color w:val="auto"/>
                <w:sz w:val="28"/>
                <w:szCs w:val="28"/>
              </w:rPr>
            </w:pPr>
          </w:p>
        </w:tc>
      </w:tr>
      <w:tr w14:paraId="49A01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0BD13D49">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387FD21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p>
        </w:tc>
        <w:tc>
          <w:tcPr>
            <w:tcW w:w="3862" w:type="dxa"/>
            <w:vAlign w:val="center"/>
          </w:tcPr>
          <w:p w14:paraId="499FCC1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水果出口量</w:t>
            </w:r>
          </w:p>
        </w:tc>
        <w:tc>
          <w:tcPr>
            <w:tcW w:w="1113" w:type="dxa"/>
            <w:vAlign w:val="center"/>
          </w:tcPr>
          <w:p w14:paraId="167DFE5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万吨</w:t>
            </w:r>
          </w:p>
        </w:tc>
        <w:tc>
          <w:tcPr>
            <w:tcW w:w="1300" w:type="dxa"/>
            <w:vAlign w:val="center"/>
          </w:tcPr>
          <w:p w14:paraId="4103BAC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32.7</w:t>
            </w:r>
          </w:p>
        </w:tc>
        <w:tc>
          <w:tcPr>
            <w:tcW w:w="1278" w:type="dxa"/>
            <w:vAlign w:val="center"/>
          </w:tcPr>
          <w:p w14:paraId="75535AF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40</w:t>
            </w:r>
          </w:p>
        </w:tc>
        <w:tc>
          <w:tcPr>
            <w:tcW w:w="841" w:type="dxa"/>
            <w:vAlign w:val="center"/>
          </w:tcPr>
          <w:p w14:paraId="14C97FDA">
            <w:pPr>
              <w:spacing w:line="300" w:lineRule="exact"/>
              <w:jc w:val="center"/>
              <w:rPr>
                <w:rFonts w:hint="eastAsia" w:ascii="仿宋_GB2312" w:hAnsi="仿宋_GB2312" w:eastAsia="仿宋_GB2312" w:cs="仿宋_GB2312"/>
                <w:color w:val="auto"/>
                <w:sz w:val="28"/>
                <w:szCs w:val="28"/>
              </w:rPr>
            </w:pPr>
          </w:p>
        </w:tc>
      </w:tr>
      <w:tr w14:paraId="230A6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DF94B06">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10F2FC1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11</w:t>
            </w:r>
          </w:p>
        </w:tc>
        <w:tc>
          <w:tcPr>
            <w:tcW w:w="3862" w:type="dxa"/>
            <w:vAlign w:val="center"/>
          </w:tcPr>
          <w:p w14:paraId="073527C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全市种业总产值</w:t>
            </w:r>
          </w:p>
        </w:tc>
        <w:tc>
          <w:tcPr>
            <w:tcW w:w="1113" w:type="dxa"/>
            <w:vAlign w:val="center"/>
          </w:tcPr>
          <w:p w14:paraId="531490C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亿元</w:t>
            </w:r>
          </w:p>
        </w:tc>
        <w:tc>
          <w:tcPr>
            <w:tcW w:w="1300" w:type="dxa"/>
            <w:vAlign w:val="center"/>
          </w:tcPr>
          <w:p w14:paraId="00B3DEF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30</w:t>
            </w:r>
          </w:p>
        </w:tc>
        <w:tc>
          <w:tcPr>
            <w:tcW w:w="1278" w:type="dxa"/>
            <w:vAlign w:val="center"/>
          </w:tcPr>
          <w:p w14:paraId="03185CB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50</w:t>
            </w:r>
          </w:p>
        </w:tc>
        <w:tc>
          <w:tcPr>
            <w:tcW w:w="841" w:type="dxa"/>
            <w:vAlign w:val="center"/>
          </w:tcPr>
          <w:p w14:paraId="5C5AB46F">
            <w:pPr>
              <w:spacing w:line="300" w:lineRule="exact"/>
              <w:jc w:val="center"/>
              <w:rPr>
                <w:rFonts w:hint="eastAsia" w:ascii="仿宋_GB2312" w:hAnsi="仿宋_GB2312" w:eastAsia="仿宋_GB2312" w:cs="仿宋_GB2312"/>
                <w:color w:val="auto"/>
                <w:sz w:val="28"/>
                <w:szCs w:val="28"/>
              </w:rPr>
            </w:pPr>
          </w:p>
        </w:tc>
      </w:tr>
      <w:tr w14:paraId="18D54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D3CCF98">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433A2C6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12</w:t>
            </w:r>
          </w:p>
        </w:tc>
        <w:tc>
          <w:tcPr>
            <w:tcW w:w="3862" w:type="dxa"/>
            <w:vAlign w:val="center"/>
          </w:tcPr>
          <w:p w14:paraId="0CA22BC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全市中药材</w:t>
            </w:r>
            <w:r>
              <w:rPr>
                <w:rFonts w:hint="eastAsia" w:ascii="仿宋_GB2312" w:hAnsi="仿宋_GB2312" w:eastAsia="仿宋_GB2312" w:cs="仿宋_GB2312"/>
                <w:color w:val="auto"/>
                <w:sz w:val="28"/>
                <w:szCs w:val="28"/>
                <w:lang w:eastAsia="zh-CN"/>
              </w:rPr>
              <w:t>采收面积</w:t>
            </w:r>
          </w:p>
        </w:tc>
        <w:tc>
          <w:tcPr>
            <w:tcW w:w="1113" w:type="dxa"/>
            <w:vAlign w:val="center"/>
          </w:tcPr>
          <w:p w14:paraId="1EC5C61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万亩</w:t>
            </w:r>
          </w:p>
        </w:tc>
        <w:tc>
          <w:tcPr>
            <w:tcW w:w="1300" w:type="dxa"/>
            <w:vAlign w:val="center"/>
          </w:tcPr>
          <w:p w14:paraId="5E2843B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shd w:val="clear" w:color="auto" w:fill="auto"/>
              </w:rPr>
            </w:pPr>
            <w:r>
              <w:rPr>
                <w:rFonts w:hint="eastAsia" w:ascii="仿宋_GB2312" w:hAnsi="仿宋_GB2312" w:eastAsia="仿宋_GB2312" w:cs="仿宋_GB2312"/>
                <w:color w:val="auto"/>
                <w:sz w:val="28"/>
                <w:szCs w:val="28"/>
                <w:shd w:val="clear" w:color="auto" w:fill="auto"/>
              </w:rPr>
              <w:t>46.8</w:t>
            </w:r>
          </w:p>
        </w:tc>
        <w:tc>
          <w:tcPr>
            <w:tcW w:w="1278" w:type="dxa"/>
            <w:vAlign w:val="center"/>
          </w:tcPr>
          <w:p w14:paraId="589D207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shd w:val="clear" w:color="auto" w:fill="auto"/>
                <w:lang w:val="en-US" w:eastAsia="zh-CN"/>
              </w:rPr>
            </w:pPr>
            <w:r>
              <w:rPr>
                <w:rFonts w:hint="eastAsia" w:ascii="仿宋_GB2312" w:hAnsi="仿宋_GB2312" w:eastAsia="仿宋_GB2312" w:cs="仿宋_GB2312"/>
                <w:color w:val="auto"/>
                <w:sz w:val="28"/>
                <w:szCs w:val="28"/>
                <w:shd w:val="clear" w:color="auto" w:fill="auto"/>
                <w:lang w:val="en-US" w:eastAsia="zh-CN"/>
              </w:rPr>
              <w:t>50</w:t>
            </w:r>
          </w:p>
        </w:tc>
        <w:tc>
          <w:tcPr>
            <w:tcW w:w="841" w:type="dxa"/>
            <w:vAlign w:val="center"/>
          </w:tcPr>
          <w:p w14:paraId="642F1184">
            <w:pPr>
              <w:widowControl/>
              <w:spacing w:line="200" w:lineRule="exact"/>
              <w:rPr>
                <w:rFonts w:hint="eastAsia" w:ascii="仿宋_GB2312" w:hAnsi="仿宋_GB2312" w:eastAsia="仿宋_GB2312" w:cs="仿宋_GB2312"/>
                <w:color w:val="auto"/>
                <w:sz w:val="28"/>
                <w:szCs w:val="28"/>
              </w:rPr>
            </w:pPr>
          </w:p>
        </w:tc>
      </w:tr>
      <w:tr w14:paraId="3F14C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2C73371">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44FD0A3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13</w:t>
            </w:r>
          </w:p>
        </w:tc>
        <w:tc>
          <w:tcPr>
            <w:tcW w:w="3862" w:type="dxa"/>
            <w:vAlign w:val="center"/>
          </w:tcPr>
          <w:p w14:paraId="12AC8C3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中药材总产值</w:t>
            </w:r>
          </w:p>
        </w:tc>
        <w:tc>
          <w:tcPr>
            <w:tcW w:w="1113" w:type="dxa"/>
            <w:vAlign w:val="center"/>
          </w:tcPr>
          <w:p w14:paraId="6B7F3A6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亿元</w:t>
            </w:r>
          </w:p>
        </w:tc>
        <w:tc>
          <w:tcPr>
            <w:tcW w:w="1300" w:type="dxa"/>
            <w:vAlign w:val="center"/>
          </w:tcPr>
          <w:p w14:paraId="2D194E9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shd w:val="clear" w:color="auto" w:fill="auto"/>
              </w:rPr>
            </w:pPr>
            <w:r>
              <w:rPr>
                <w:rFonts w:hint="eastAsia" w:ascii="仿宋_GB2312" w:hAnsi="仿宋_GB2312" w:eastAsia="仿宋_GB2312" w:cs="仿宋_GB2312"/>
                <w:color w:val="auto"/>
                <w:sz w:val="28"/>
                <w:szCs w:val="28"/>
                <w:shd w:val="clear" w:color="auto" w:fill="auto"/>
              </w:rPr>
              <w:t>31</w:t>
            </w:r>
          </w:p>
        </w:tc>
        <w:tc>
          <w:tcPr>
            <w:tcW w:w="1278" w:type="dxa"/>
            <w:vAlign w:val="center"/>
          </w:tcPr>
          <w:p w14:paraId="27CC422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shd w:val="clear" w:color="auto" w:fill="auto"/>
                <w:lang w:val="en-US" w:eastAsia="zh-CN"/>
              </w:rPr>
            </w:pPr>
            <w:r>
              <w:rPr>
                <w:rFonts w:hint="eastAsia" w:ascii="仿宋_GB2312" w:hAnsi="仿宋_GB2312" w:eastAsia="仿宋_GB2312" w:cs="仿宋_GB2312"/>
                <w:color w:val="auto"/>
                <w:sz w:val="28"/>
                <w:szCs w:val="28"/>
                <w:shd w:val="clear" w:color="auto" w:fill="auto"/>
                <w:lang w:val="en-US" w:eastAsia="zh-CN"/>
              </w:rPr>
              <w:t>33</w:t>
            </w:r>
          </w:p>
        </w:tc>
        <w:tc>
          <w:tcPr>
            <w:tcW w:w="841" w:type="dxa"/>
            <w:vAlign w:val="center"/>
          </w:tcPr>
          <w:p w14:paraId="00650172">
            <w:pPr>
              <w:widowControl/>
              <w:spacing w:line="200" w:lineRule="exact"/>
              <w:rPr>
                <w:rFonts w:hint="eastAsia" w:ascii="仿宋_GB2312" w:hAnsi="仿宋_GB2312" w:eastAsia="仿宋_GB2312" w:cs="仿宋_GB2312"/>
                <w:color w:val="auto"/>
                <w:sz w:val="28"/>
                <w:szCs w:val="28"/>
              </w:rPr>
            </w:pPr>
          </w:p>
        </w:tc>
      </w:tr>
      <w:tr w14:paraId="5AEF4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1152C69C">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5FC096E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14</w:t>
            </w:r>
          </w:p>
        </w:tc>
        <w:tc>
          <w:tcPr>
            <w:tcW w:w="3862" w:type="dxa"/>
            <w:vAlign w:val="center"/>
          </w:tcPr>
          <w:p w14:paraId="635F180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设施农业总面积</w:t>
            </w:r>
          </w:p>
        </w:tc>
        <w:tc>
          <w:tcPr>
            <w:tcW w:w="1113" w:type="dxa"/>
            <w:vAlign w:val="center"/>
          </w:tcPr>
          <w:p w14:paraId="0F9CA68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万亩</w:t>
            </w:r>
          </w:p>
        </w:tc>
        <w:tc>
          <w:tcPr>
            <w:tcW w:w="1300" w:type="dxa"/>
            <w:vAlign w:val="center"/>
          </w:tcPr>
          <w:p w14:paraId="671A66D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47.69</w:t>
            </w:r>
          </w:p>
        </w:tc>
        <w:tc>
          <w:tcPr>
            <w:tcW w:w="1278" w:type="dxa"/>
            <w:vAlign w:val="center"/>
          </w:tcPr>
          <w:p w14:paraId="604BF28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48.19</w:t>
            </w:r>
          </w:p>
        </w:tc>
        <w:tc>
          <w:tcPr>
            <w:tcW w:w="841" w:type="dxa"/>
            <w:vAlign w:val="center"/>
          </w:tcPr>
          <w:p w14:paraId="1AA59BAF">
            <w:pPr>
              <w:widowControl/>
              <w:spacing w:line="200" w:lineRule="exact"/>
              <w:rPr>
                <w:rFonts w:hint="eastAsia" w:ascii="仿宋_GB2312" w:hAnsi="仿宋_GB2312" w:eastAsia="仿宋_GB2312" w:cs="仿宋_GB2312"/>
                <w:color w:val="auto"/>
                <w:sz w:val="28"/>
                <w:szCs w:val="28"/>
              </w:rPr>
            </w:pPr>
          </w:p>
        </w:tc>
      </w:tr>
      <w:tr w14:paraId="7BC39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restart"/>
            <w:vAlign w:val="center"/>
          </w:tcPr>
          <w:p w14:paraId="071A4065">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农业现代化水平</w:t>
            </w:r>
          </w:p>
        </w:tc>
        <w:tc>
          <w:tcPr>
            <w:tcW w:w="578" w:type="dxa"/>
            <w:vAlign w:val="center"/>
          </w:tcPr>
          <w:p w14:paraId="5B5CA94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862" w:type="dxa"/>
            <w:vAlign w:val="center"/>
          </w:tcPr>
          <w:p w14:paraId="6086E5B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主要农作物耕种收综合</w:t>
            </w:r>
            <w:r>
              <w:rPr>
                <w:rFonts w:hint="eastAsia" w:ascii="仿宋_GB2312" w:hAnsi="仿宋_GB2312" w:eastAsia="仿宋_GB2312" w:cs="仿宋_GB2312"/>
                <w:color w:val="auto"/>
                <w:sz w:val="28"/>
                <w:szCs w:val="28"/>
              </w:rPr>
              <w:t>机械化水平</w:t>
            </w:r>
          </w:p>
        </w:tc>
        <w:tc>
          <w:tcPr>
            <w:tcW w:w="1113" w:type="dxa"/>
            <w:vAlign w:val="center"/>
          </w:tcPr>
          <w:p w14:paraId="47BB1AD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724FF29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74.7</w:t>
            </w:r>
          </w:p>
        </w:tc>
        <w:tc>
          <w:tcPr>
            <w:tcW w:w="1278" w:type="dxa"/>
            <w:vAlign w:val="center"/>
          </w:tcPr>
          <w:p w14:paraId="2667B25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78.8</w:t>
            </w:r>
          </w:p>
        </w:tc>
        <w:tc>
          <w:tcPr>
            <w:tcW w:w="841" w:type="dxa"/>
            <w:vAlign w:val="center"/>
          </w:tcPr>
          <w:p w14:paraId="0BAEDDE9">
            <w:pPr>
              <w:spacing w:line="300" w:lineRule="exact"/>
              <w:jc w:val="center"/>
              <w:rPr>
                <w:rFonts w:hint="eastAsia" w:ascii="仿宋_GB2312" w:hAnsi="仿宋_GB2312" w:eastAsia="仿宋_GB2312" w:cs="仿宋_GB2312"/>
                <w:color w:val="auto"/>
                <w:sz w:val="28"/>
                <w:szCs w:val="28"/>
              </w:rPr>
            </w:pPr>
          </w:p>
        </w:tc>
      </w:tr>
      <w:tr w14:paraId="3892D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5A49E542">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08EB68F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3862" w:type="dxa"/>
            <w:vAlign w:val="center"/>
          </w:tcPr>
          <w:p w14:paraId="528EC1C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农业有效灌溉面积</w:t>
            </w:r>
          </w:p>
        </w:tc>
        <w:tc>
          <w:tcPr>
            <w:tcW w:w="1113" w:type="dxa"/>
            <w:vAlign w:val="center"/>
          </w:tcPr>
          <w:p w14:paraId="305017C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万亩</w:t>
            </w:r>
          </w:p>
        </w:tc>
        <w:tc>
          <w:tcPr>
            <w:tcW w:w="1300" w:type="dxa"/>
            <w:vAlign w:val="center"/>
          </w:tcPr>
          <w:p w14:paraId="4B4E6FA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690</w:t>
            </w:r>
          </w:p>
        </w:tc>
        <w:tc>
          <w:tcPr>
            <w:tcW w:w="1278" w:type="dxa"/>
            <w:vAlign w:val="center"/>
          </w:tcPr>
          <w:p w14:paraId="35A863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690</w:t>
            </w:r>
          </w:p>
        </w:tc>
        <w:tc>
          <w:tcPr>
            <w:tcW w:w="841" w:type="dxa"/>
            <w:vAlign w:val="center"/>
          </w:tcPr>
          <w:p w14:paraId="5C876085">
            <w:pPr>
              <w:spacing w:line="300" w:lineRule="exact"/>
              <w:jc w:val="center"/>
              <w:rPr>
                <w:rFonts w:hint="eastAsia" w:ascii="仿宋_GB2312" w:hAnsi="仿宋_GB2312" w:eastAsia="仿宋_GB2312" w:cs="仿宋_GB2312"/>
                <w:color w:val="auto"/>
                <w:sz w:val="28"/>
                <w:szCs w:val="28"/>
              </w:rPr>
            </w:pPr>
          </w:p>
        </w:tc>
      </w:tr>
      <w:tr w14:paraId="0E01F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454AF5A">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47A4DB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3862" w:type="dxa"/>
            <w:vAlign w:val="center"/>
          </w:tcPr>
          <w:p w14:paraId="0B27068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主要农作物</w:t>
            </w:r>
            <w:r>
              <w:rPr>
                <w:rFonts w:hint="eastAsia" w:ascii="仿宋_GB2312" w:hAnsi="仿宋_GB2312" w:eastAsia="仿宋_GB2312" w:cs="仿宋_GB2312"/>
                <w:color w:val="auto"/>
                <w:sz w:val="28"/>
                <w:szCs w:val="28"/>
              </w:rPr>
              <w:t>化肥利用率</w:t>
            </w:r>
          </w:p>
        </w:tc>
        <w:tc>
          <w:tcPr>
            <w:tcW w:w="1113" w:type="dxa"/>
            <w:vAlign w:val="center"/>
          </w:tcPr>
          <w:p w14:paraId="48846FD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1EFC75D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40</w:t>
            </w:r>
          </w:p>
        </w:tc>
        <w:tc>
          <w:tcPr>
            <w:tcW w:w="1278" w:type="dxa"/>
            <w:vAlign w:val="center"/>
          </w:tcPr>
          <w:p w14:paraId="76B42BB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43</w:t>
            </w:r>
          </w:p>
        </w:tc>
        <w:tc>
          <w:tcPr>
            <w:tcW w:w="841" w:type="dxa"/>
            <w:vAlign w:val="center"/>
          </w:tcPr>
          <w:p w14:paraId="33B63C32">
            <w:pPr>
              <w:spacing w:line="300" w:lineRule="exact"/>
              <w:jc w:val="center"/>
              <w:rPr>
                <w:rFonts w:hint="eastAsia" w:ascii="仿宋_GB2312" w:hAnsi="仿宋_GB2312" w:eastAsia="仿宋_GB2312" w:cs="仿宋_GB2312"/>
                <w:color w:val="auto"/>
                <w:sz w:val="28"/>
                <w:szCs w:val="28"/>
              </w:rPr>
            </w:pPr>
          </w:p>
        </w:tc>
      </w:tr>
      <w:tr w14:paraId="53970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FCF89E4">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67A2754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3862" w:type="dxa"/>
            <w:vAlign w:val="center"/>
          </w:tcPr>
          <w:p w14:paraId="4C5FABE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农业科技进步贡献率</w:t>
            </w:r>
          </w:p>
        </w:tc>
        <w:tc>
          <w:tcPr>
            <w:tcW w:w="1113" w:type="dxa"/>
            <w:vAlign w:val="center"/>
          </w:tcPr>
          <w:p w14:paraId="6335C6E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734F47B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70</w:t>
            </w:r>
          </w:p>
        </w:tc>
        <w:tc>
          <w:tcPr>
            <w:tcW w:w="1278" w:type="dxa"/>
            <w:vAlign w:val="center"/>
          </w:tcPr>
          <w:p w14:paraId="20A26EF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75</w:t>
            </w:r>
          </w:p>
        </w:tc>
        <w:tc>
          <w:tcPr>
            <w:tcW w:w="841" w:type="dxa"/>
            <w:vAlign w:val="center"/>
          </w:tcPr>
          <w:p w14:paraId="280D7E4A">
            <w:pPr>
              <w:spacing w:line="300" w:lineRule="exact"/>
              <w:jc w:val="center"/>
              <w:rPr>
                <w:rFonts w:hint="eastAsia" w:ascii="仿宋_GB2312" w:hAnsi="仿宋_GB2312" w:eastAsia="仿宋_GB2312" w:cs="仿宋_GB2312"/>
                <w:color w:val="auto"/>
                <w:sz w:val="28"/>
                <w:szCs w:val="28"/>
              </w:rPr>
            </w:pPr>
          </w:p>
        </w:tc>
      </w:tr>
      <w:tr w14:paraId="42921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5A70156F">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12F5162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3862" w:type="dxa"/>
            <w:vAlign w:val="center"/>
          </w:tcPr>
          <w:p w14:paraId="1114657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农业标准化生产覆盖率</w:t>
            </w:r>
          </w:p>
        </w:tc>
        <w:tc>
          <w:tcPr>
            <w:tcW w:w="1113" w:type="dxa"/>
            <w:vAlign w:val="center"/>
          </w:tcPr>
          <w:p w14:paraId="6467F7D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F23E06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26</w:t>
            </w:r>
          </w:p>
        </w:tc>
        <w:tc>
          <w:tcPr>
            <w:tcW w:w="1278" w:type="dxa"/>
            <w:vAlign w:val="center"/>
          </w:tcPr>
          <w:p w14:paraId="1ABC3B1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50</w:t>
            </w:r>
          </w:p>
        </w:tc>
        <w:tc>
          <w:tcPr>
            <w:tcW w:w="841" w:type="dxa"/>
            <w:vAlign w:val="center"/>
          </w:tcPr>
          <w:p w14:paraId="5F81FC85">
            <w:pPr>
              <w:spacing w:line="300" w:lineRule="exact"/>
              <w:jc w:val="center"/>
              <w:rPr>
                <w:rFonts w:hint="eastAsia" w:ascii="仿宋_GB2312" w:hAnsi="仿宋_GB2312" w:eastAsia="仿宋_GB2312" w:cs="仿宋_GB2312"/>
                <w:color w:val="auto"/>
                <w:sz w:val="28"/>
                <w:szCs w:val="28"/>
              </w:rPr>
            </w:pPr>
          </w:p>
        </w:tc>
      </w:tr>
      <w:tr w14:paraId="465A1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2E7072F">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3656045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3862" w:type="dxa"/>
            <w:vAlign w:val="center"/>
          </w:tcPr>
          <w:p w14:paraId="20A0170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主要农作物良种覆盖率</w:t>
            </w:r>
          </w:p>
        </w:tc>
        <w:tc>
          <w:tcPr>
            <w:tcW w:w="1113" w:type="dxa"/>
            <w:vAlign w:val="center"/>
          </w:tcPr>
          <w:p w14:paraId="45D1C51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4B2CE7E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98.4</w:t>
            </w:r>
          </w:p>
        </w:tc>
        <w:tc>
          <w:tcPr>
            <w:tcW w:w="1278" w:type="dxa"/>
            <w:vAlign w:val="center"/>
          </w:tcPr>
          <w:p w14:paraId="56BFA51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98.6</w:t>
            </w:r>
          </w:p>
        </w:tc>
        <w:tc>
          <w:tcPr>
            <w:tcW w:w="841" w:type="dxa"/>
            <w:vAlign w:val="center"/>
          </w:tcPr>
          <w:p w14:paraId="380CC16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仿宋_GB2312" w:cs="仿宋_GB2312"/>
                <w:color w:val="auto"/>
                <w:sz w:val="28"/>
                <w:szCs w:val="28"/>
              </w:rPr>
            </w:pPr>
          </w:p>
        </w:tc>
      </w:tr>
      <w:tr w14:paraId="157C7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749DF149">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51BA223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3862" w:type="dxa"/>
            <w:vAlign w:val="center"/>
          </w:tcPr>
          <w:p w14:paraId="196B7D3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农业</w:t>
            </w:r>
            <w:r>
              <w:rPr>
                <w:rFonts w:hint="eastAsia" w:ascii="仿宋_GB2312" w:hAnsi="仿宋_GB2312" w:eastAsia="仿宋_GB2312" w:cs="仿宋_GB2312"/>
                <w:color w:val="auto"/>
                <w:sz w:val="28"/>
                <w:szCs w:val="28"/>
                <w:lang w:eastAsia="zh-CN"/>
              </w:rPr>
              <w:t>农村</w:t>
            </w:r>
            <w:r>
              <w:rPr>
                <w:rFonts w:hint="eastAsia" w:ascii="仿宋_GB2312" w:hAnsi="仿宋_GB2312" w:eastAsia="仿宋_GB2312" w:cs="仿宋_GB2312"/>
                <w:color w:val="auto"/>
                <w:sz w:val="28"/>
                <w:szCs w:val="28"/>
              </w:rPr>
              <w:t>信息化</w:t>
            </w:r>
            <w:r>
              <w:rPr>
                <w:rFonts w:hint="eastAsia" w:ascii="仿宋_GB2312" w:hAnsi="仿宋_GB2312" w:eastAsia="仿宋_GB2312" w:cs="仿宋_GB2312"/>
                <w:color w:val="auto"/>
                <w:sz w:val="28"/>
                <w:szCs w:val="28"/>
                <w:lang w:eastAsia="zh-CN"/>
              </w:rPr>
              <w:t>率</w:t>
            </w:r>
          </w:p>
        </w:tc>
        <w:tc>
          <w:tcPr>
            <w:tcW w:w="1113" w:type="dxa"/>
            <w:vAlign w:val="center"/>
          </w:tcPr>
          <w:p w14:paraId="639A340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4CD0AF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80</w:t>
            </w:r>
          </w:p>
        </w:tc>
        <w:tc>
          <w:tcPr>
            <w:tcW w:w="1278" w:type="dxa"/>
            <w:vAlign w:val="center"/>
          </w:tcPr>
          <w:p w14:paraId="0AA16B7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100</w:t>
            </w:r>
          </w:p>
        </w:tc>
        <w:tc>
          <w:tcPr>
            <w:tcW w:w="841" w:type="dxa"/>
            <w:vAlign w:val="center"/>
          </w:tcPr>
          <w:p w14:paraId="6FCA28D2">
            <w:pPr>
              <w:spacing w:line="300" w:lineRule="exact"/>
              <w:jc w:val="center"/>
              <w:rPr>
                <w:rFonts w:hint="eastAsia" w:ascii="仿宋_GB2312" w:hAnsi="仿宋_GB2312" w:eastAsia="仿宋_GB2312" w:cs="仿宋_GB2312"/>
                <w:color w:val="auto"/>
                <w:sz w:val="28"/>
                <w:szCs w:val="28"/>
              </w:rPr>
            </w:pPr>
          </w:p>
        </w:tc>
      </w:tr>
      <w:tr w14:paraId="611E5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71FE4963">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5EC09EA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3862" w:type="dxa"/>
            <w:vAlign w:val="center"/>
          </w:tcPr>
          <w:p w14:paraId="06EB398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w:t>
            </w:r>
            <w:r>
              <w:rPr>
                <w:rFonts w:hint="eastAsia" w:ascii="仿宋_GB2312" w:hAnsi="仿宋_GB2312" w:eastAsia="仿宋_GB2312" w:cs="仿宋_GB2312"/>
                <w:color w:val="auto"/>
                <w:spacing w:val="-11"/>
                <w:sz w:val="28"/>
                <w:szCs w:val="28"/>
              </w:rPr>
              <w:t>产品质量安全检测检验合格率</w:t>
            </w:r>
          </w:p>
        </w:tc>
        <w:tc>
          <w:tcPr>
            <w:tcW w:w="1113" w:type="dxa"/>
            <w:vAlign w:val="center"/>
          </w:tcPr>
          <w:p w14:paraId="629B984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D77B21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97.1</w:t>
            </w:r>
          </w:p>
        </w:tc>
        <w:tc>
          <w:tcPr>
            <w:tcW w:w="1278" w:type="dxa"/>
            <w:vAlign w:val="center"/>
          </w:tcPr>
          <w:p w14:paraId="195F21F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98</w:t>
            </w:r>
          </w:p>
        </w:tc>
        <w:tc>
          <w:tcPr>
            <w:tcW w:w="841" w:type="dxa"/>
            <w:vAlign w:val="center"/>
          </w:tcPr>
          <w:p w14:paraId="1A5C1762">
            <w:pPr>
              <w:spacing w:line="300" w:lineRule="exact"/>
              <w:jc w:val="center"/>
              <w:rPr>
                <w:rFonts w:hint="eastAsia" w:ascii="仿宋_GB2312" w:hAnsi="仿宋_GB2312" w:eastAsia="仿宋_GB2312" w:cs="仿宋_GB2312"/>
                <w:color w:val="auto"/>
                <w:sz w:val="28"/>
                <w:szCs w:val="28"/>
              </w:rPr>
            </w:pPr>
          </w:p>
        </w:tc>
      </w:tr>
      <w:tr w14:paraId="4432C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0F7AFF79">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091B986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3862" w:type="dxa"/>
            <w:vAlign w:val="center"/>
          </w:tcPr>
          <w:p w14:paraId="133E85D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w:t>
            </w:r>
            <w:r>
              <w:rPr>
                <w:rFonts w:hint="eastAsia" w:ascii="仿宋_GB2312" w:hAnsi="仿宋_GB2312" w:eastAsia="仿宋_GB2312" w:cs="仿宋_GB2312"/>
                <w:color w:val="auto"/>
                <w:spacing w:val="-6"/>
                <w:sz w:val="28"/>
                <w:szCs w:val="28"/>
              </w:rPr>
              <w:t>级以上农业产业化龙头企业</w:t>
            </w:r>
          </w:p>
        </w:tc>
        <w:tc>
          <w:tcPr>
            <w:tcW w:w="1113" w:type="dxa"/>
            <w:vAlign w:val="center"/>
          </w:tcPr>
          <w:p w14:paraId="6702A75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个</w:t>
            </w:r>
          </w:p>
        </w:tc>
        <w:tc>
          <w:tcPr>
            <w:tcW w:w="1300" w:type="dxa"/>
            <w:vAlign w:val="center"/>
          </w:tcPr>
          <w:p w14:paraId="465496B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285</w:t>
            </w:r>
          </w:p>
        </w:tc>
        <w:tc>
          <w:tcPr>
            <w:tcW w:w="1278" w:type="dxa"/>
            <w:vAlign w:val="center"/>
          </w:tcPr>
          <w:p w14:paraId="41384E8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350</w:t>
            </w:r>
          </w:p>
        </w:tc>
        <w:tc>
          <w:tcPr>
            <w:tcW w:w="841" w:type="dxa"/>
            <w:vAlign w:val="center"/>
          </w:tcPr>
          <w:p w14:paraId="5BE14937">
            <w:pPr>
              <w:spacing w:line="300" w:lineRule="exact"/>
              <w:jc w:val="center"/>
              <w:rPr>
                <w:rFonts w:hint="eastAsia" w:ascii="仿宋_GB2312" w:hAnsi="仿宋_GB2312" w:eastAsia="仿宋_GB2312" w:cs="仿宋_GB2312"/>
                <w:color w:val="auto"/>
                <w:sz w:val="28"/>
                <w:szCs w:val="28"/>
              </w:rPr>
            </w:pPr>
          </w:p>
        </w:tc>
      </w:tr>
      <w:tr w14:paraId="5C5CA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4D1CF1F1">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2B01A2B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p>
        </w:tc>
        <w:tc>
          <w:tcPr>
            <w:tcW w:w="3862" w:type="dxa"/>
            <w:vAlign w:val="center"/>
          </w:tcPr>
          <w:p w14:paraId="41BAE16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农产品加工销售收入</w:t>
            </w:r>
          </w:p>
        </w:tc>
        <w:tc>
          <w:tcPr>
            <w:tcW w:w="1113" w:type="dxa"/>
            <w:vAlign w:val="center"/>
          </w:tcPr>
          <w:p w14:paraId="4BAAF31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亿元</w:t>
            </w:r>
          </w:p>
        </w:tc>
        <w:tc>
          <w:tcPr>
            <w:tcW w:w="1300" w:type="dxa"/>
            <w:vAlign w:val="center"/>
          </w:tcPr>
          <w:p w14:paraId="0F3B2B2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372.2</w:t>
            </w:r>
          </w:p>
        </w:tc>
        <w:tc>
          <w:tcPr>
            <w:tcW w:w="1278" w:type="dxa"/>
            <w:vAlign w:val="center"/>
          </w:tcPr>
          <w:p w14:paraId="07CD776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500</w:t>
            </w:r>
          </w:p>
        </w:tc>
        <w:tc>
          <w:tcPr>
            <w:tcW w:w="841" w:type="dxa"/>
            <w:vAlign w:val="center"/>
          </w:tcPr>
          <w:p w14:paraId="17992C7A">
            <w:pPr>
              <w:spacing w:line="300" w:lineRule="exact"/>
              <w:jc w:val="center"/>
              <w:rPr>
                <w:rFonts w:hint="eastAsia" w:ascii="仿宋_GB2312" w:hAnsi="仿宋_GB2312" w:eastAsia="仿宋_GB2312" w:cs="仿宋_GB2312"/>
                <w:color w:val="auto"/>
                <w:sz w:val="28"/>
                <w:szCs w:val="28"/>
              </w:rPr>
            </w:pPr>
          </w:p>
        </w:tc>
      </w:tr>
      <w:tr w14:paraId="17873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413472CC">
            <w:pPr>
              <w:spacing w:line="300" w:lineRule="exact"/>
              <w:jc w:val="center"/>
              <w:rPr>
                <w:rFonts w:hint="eastAsia" w:ascii="仿宋_GB2312" w:hAnsi="仿宋_GB2312" w:eastAsia="仿宋_GB2312" w:cs="仿宋_GB2312"/>
                <w:color w:val="auto"/>
                <w:sz w:val="28"/>
                <w:szCs w:val="28"/>
              </w:rPr>
            </w:pPr>
          </w:p>
        </w:tc>
        <w:tc>
          <w:tcPr>
            <w:tcW w:w="578" w:type="dxa"/>
            <w:vAlign w:val="center"/>
          </w:tcPr>
          <w:p w14:paraId="2B56499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11</w:t>
            </w:r>
          </w:p>
        </w:tc>
        <w:tc>
          <w:tcPr>
            <w:tcW w:w="3862" w:type="dxa"/>
            <w:vAlign w:val="center"/>
          </w:tcPr>
          <w:p w14:paraId="591C48F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全国名特优新农产品</w:t>
            </w:r>
          </w:p>
        </w:tc>
        <w:tc>
          <w:tcPr>
            <w:tcW w:w="1113" w:type="dxa"/>
            <w:vAlign w:val="center"/>
          </w:tcPr>
          <w:p w14:paraId="73BD46D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个</w:t>
            </w:r>
          </w:p>
        </w:tc>
        <w:tc>
          <w:tcPr>
            <w:tcW w:w="1300" w:type="dxa"/>
            <w:vAlign w:val="center"/>
          </w:tcPr>
          <w:p w14:paraId="1EC86E8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12</w:t>
            </w:r>
          </w:p>
        </w:tc>
        <w:tc>
          <w:tcPr>
            <w:tcW w:w="1278" w:type="dxa"/>
            <w:vAlign w:val="center"/>
          </w:tcPr>
          <w:p w14:paraId="179079C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30</w:t>
            </w:r>
          </w:p>
        </w:tc>
        <w:tc>
          <w:tcPr>
            <w:tcW w:w="841" w:type="dxa"/>
            <w:vAlign w:val="center"/>
          </w:tcPr>
          <w:p w14:paraId="59CF55D2">
            <w:pPr>
              <w:spacing w:line="300" w:lineRule="exact"/>
              <w:jc w:val="center"/>
              <w:rPr>
                <w:rFonts w:hint="eastAsia" w:ascii="仿宋_GB2312" w:hAnsi="仿宋_GB2312" w:eastAsia="仿宋_GB2312" w:cs="仿宋_GB2312"/>
                <w:color w:val="auto"/>
                <w:sz w:val="28"/>
                <w:szCs w:val="28"/>
              </w:rPr>
            </w:pPr>
          </w:p>
        </w:tc>
      </w:tr>
      <w:tr w14:paraId="0C02D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15C9F45">
            <w:pPr>
              <w:spacing w:line="300" w:lineRule="exact"/>
              <w:jc w:val="center"/>
              <w:rPr>
                <w:rFonts w:ascii="仿宋" w:hAnsi="仿宋" w:eastAsia="仿宋" w:cs="仿宋"/>
                <w:color w:val="auto"/>
                <w:sz w:val="28"/>
                <w:szCs w:val="28"/>
              </w:rPr>
            </w:pPr>
          </w:p>
        </w:tc>
        <w:tc>
          <w:tcPr>
            <w:tcW w:w="578" w:type="dxa"/>
            <w:vAlign w:val="center"/>
          </w:tcPr>
          <w:p w14:paraId="01FD78B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12</w:t>
            </w:r>
          </w:p>
        </w:tc>
        <w:tc>
          <w:tcPr>
            <w:tcW w:w="3862" w:type="dxa"/>
            <w:vAlign w:val="center"/>
          </w:tcPr>
          <w:p w14:paraId="755C4DC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国</w:t>
            </w:r>
            <w:r>
              <w:rPr>
                <w:rFonts w:hint="eastAsia" w:ascii="仿宋_GB2312" w:hAnsi="仿宋_GB2312" w:eastAsia="仿宋_GB2312" w:cs="仿宋_GB2312"/>
                <w:color w:val="auto"/>
                <w:spacing w:val="-6"/>
                <w:sz w:val="28"/>
                <w:szCs w:val="28"/>
              </w:rPr>
              <w:t>家农产品地理标志认证总数</w:t>
            </w:r>
          </w:p>
        </w:tc>
        <w:tc>
          <w:tcPr>
            <w:tcW w:w="1113" w:type="dxa"/>
            <w:vAlign w:val="center"/>
          </w:tcPr>
          <w:p w14:paraId="2A3F650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个</w:t>
            </w:r>
          </w:p>
        </w:tc>
        <w:tc>
          <w:tcPr>
            <w:tcW w:w="1300" w:type="dxa"/>
            <w:vAlign w:val="center"/>
          </w:tcPr>
          <w:p w14:paraId="6A48A12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31</w:t>
            </w:r>
          </w:p>
        </w:tc>
        <w:tc>
          <w:tcPr>
            <w:tcW w:w="1278" w:type="dxa"/>
            <w:vAlign w:val="center"/>
          </w:tcPr>
          <w:p w14:paraId="3DE8D7B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3</w:t>
            </w:r>
            <w:r>
              <w:rPr>
                <w:rFonts w:hint="eastAsia" w:ascii="仿宋_GB2312" w:hAnsi="仿宋_GB2312" w:eastAsia="仿宋_GB2312" w:cs="仿宋_GB2312"/>
                <w:color w:val="auto"/>
                <w:sz w:val="28"/>
                <w:szCs w:val="28"/>
                <w:lang w:val="en-US" w:eastAsia="zh-CN"/>
              </w:rPr>
              <w:t>6</w:t>
            </w:r>
          </w:p>
        </w:tc>
        <w:tc>
          <w:tcPr>
            <w:tcW w:w="841" w:type="dxa"/>
            <w:vAlign w:val="center"/>
          </w:tcPr>
          <w:p w14:paraId="501BD91E">
            <w:pPr>
              <w:spacing w:line="300" w:lineRule="exact"/>
              <w:jc w:val="center"/>
              <w:rPr>
                <w:rFonts w:hint="eastAsia" w:ascii="仿宋_GB2312" w:hAnsi="仿宋_GB2312" w:eastAsia="仿宋_GB2312" w:cs="仿宋_GB2312"/>
                <w:color w:val="auto"/>
                <w:sz w:val="28"/>
                <w:szCs w:val="28"/>
              </w:rPr>
            </w:pPr>
          </w:p>
        </w:tc>
      </w:tr>
      <w:tr w14:paraId="044EF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blHeader/>
          <w:jc w:val="center"/>
        </w:trPr>
        <w:tc>
          <w:tcPr>
            <w:tcW w:w="577" w:type="dxa"/>
            <w:vAlign w:val="center"/>
          </w:tcPr>
          <w:p w14:paraId="34F6F182">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分类</w:t>
            </w:r>
          </w:p>
        </w:tc>
        <w:tc>
          <w:tcPr>
            <w:tcW w:w="578" w:type="dxa"/>
            <w:vAlign w:val="center"/>
          </w:tcPr>
          <w:p w14:paraId="4D3080DC">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序号</w:t>
            </w:r>
          </w:p>
        </w:tc>
        <w:tc>
          <w:tcPr>
            <w:tcW w:w="3862" w:type="dxa"/>
            <w:vAlign w:val="center"/>
          </w:tcPr>
          <w:p w14:paraId="7383D8AE">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主要指标</w:t>
            </w:r>
          </w:p>
        </w:tc>
        <w:tc>
          <w:tcPr>
            <w:tcW w:w="1113" w:type="dxa"/>
            <w:vAlign w:val="center"/>
          </w:tcPr>
          <w:p w14:paraId="1483FE4E">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单位</w:t>
            </w:r>
          </w:p>
        </w:tc>
        <w:tc>
          <w:tcPr>
            <w:tcW w:w="1300" w:type="dxa"/>
            <w:vAlign w:val="center"/>
          </w:tcPr>
          <w:p w14:paraId="6C4AD285">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2020年</w:t>
            </w:r>
          </w:p>
          <w:p w14:paraId="4D2260D9">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基期值</w:t>
            </w:r>
          </w:p>
        </w:tc>
        <w:tc>
          <w:tcPr>
            <w:tcW w:w="1278" w:type="dxa"/>
            <w:vAlign w:val="center"/>
          </w:tcPr>
          <w:p w14:paraId="555EDE02">
            <w:pPr>
              <w:spacing w:line="300" w:lineRule="exact"/>
              <w:jc w:val="center"/>
              <w:rPr>
                <w:rFonts w:hint="eastAsia" w:ascii="黑体" w:hAnsi="黑体" w:eastAsia="黑体" w:cs="黑体"/>
                <w:b w:val="0"/>
                <w:bCs w:val="0"/>
                <w:color w:val="auto"/>
                <w:sz w:val="28"/>
                <w:szCs w:val="28"/>
              </w:rPr>
            </w:pPr>
            <w:r>
              <w:rPr>
                <w:rFonts w:hint="eastAsia" w:ascii="黑体" w:hAnsi="黑体" w:eastAsia="黑体" w:cs="黑体"/>
                <w:b w:val="0"/>
                <w:bCs w:val="0"/>
                <w:color w:val="auto"/>
                <w:sz w:val="28"/>
                <w:szCs w:val="28"/>
              </w:rPr>
              <w:t>2025年</w:t>
            </w:r>
          </w:p>
          <w:p w14:paraId="67DA7E81">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目标值</w:t>
            </w:r>
          </w:p>
        </w:tc>
        <w:tc>
          <w:tcPr>
            <w:tcW w:w="841" w:type="dxa"/>
            <w:vAlign w:val="center"/>
          </w:tcPr>
          <w:p w14:paraId="113390B6">
            <w:pPr>
              <w:spacing w:line="300" w:lineRule="exact"/>
              <w:jc w:val="center"/>
              <w:rPr>
                <w:rFonts w:hint="eastAsia" w:ascii="黑体" w:hAnsi="黑体" w:eastAsia="黑体" w:cs="黑体"/>
                <w:b w:val="0"/>
                <w:bCs w:val="0"/>
                <w:color w:val="auto"/>
                <w:kern w:val="2"/>
                <w:sz w:val="28"/>
                <w:szCs w:val="28"/>
                <w:lang w:val="en-US" w:eastAsia="zh-CN" w:bidi="ar-SA"/>
              </w:rPr>
            </w:pPr>
            <w:r>
              <w:rPr>
                <w:rFonts w:hint="eastAsia" w:ascii="黑体" w:hAnsi="黑体" w:eastAsia="黑体" w:cs="黑体"/>
                <w:b w:val="0"/>
                <w:bCs w:val="0"/>
                <w:color w:val="auto"/>
                <w:sz w:val="28"/>
                <w:szCs w:val="28"/>
              </w:rPr>
              <w:t>备注</w:t>
            </w:r>
          </w:p>
        </w:tc>
      </w:tr>
      <w:tr w14:paraId="646DA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restart"/>
            <w:vAlign w:val="center"/>
          </w:tcPr>
          <w:p w14:paraId="416C9219">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美丽乡村建设</w:t>
            </w:r>
          </w:p>
        </w:tc>
        <w:tc>
          <w:tcPr>
            <w:tcW w:w="578" w:type="dxa"/>
            <w:vAlign w:val="center"/>
          </w:tcPr>
          <w:p w14:paraId="7D95ABF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862" w:type="dxa"/>
            <w:vAlign w:val="center"/>
          </w:tcPr>
          <w:p w14:paraId="65F5D99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农村城镇化水平</w:t>
            </w:r>
          </w:p>
        </w:tc>
        <w:tc>
          <w:tcPr>
            <w:tcW w:w="1113" w:type="dxa"/>
            <w:vAlign w:val="center"/>
          </w:tcPr>
          <w:p w14:paraId="4D0CA67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08DD6B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49.27</w:t>
            </w:r>
          </w:p>
        </w:tc>
        <w:tc>
          <w:tcPr>
            <w:tcW w:w="1278" w:type="dxa"/>
            <w:vAlign w:val="center"/>
          </w:tcPr>
          <w:p w14:paraId="5A6B41B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56</w:t>
            </w:r>
          </w:p>
        </w:tc>
        <w:tc>
          <w:tcPr>
            <w:tcW w:w="841" w:type="dxa"/>
            <w:vAlign w:val="center"/>
          </w:tcPr>
          <w:p w14:paraId="5A01B4C0">
            <w:pPr>
              <w:spacing w:line="300" w:lineRule="exact"/>
              <w:jc w:val="center"/>
              <w:rPr>
                <w:rFonts w:hint="eastAsia" w:ascii="仿宋_GB2312" w:hAnsi="仿宋_GB2312" w:eastAsia="仿宋_GB2312" w:cs="仿宋_GB2312"/>
                <w:color w:val="auto"/>
                <w:sz w:val="28"/>
                <w:szCs w:val="28"/>
              </w:rPr>
            </w:pPr>
          </w:p>
        </w:tc>
      </w:tr>
      <w:tr w14:paraId="6FFBE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1030D151">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44E78FB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3862" w:type="dxa"/>
            <w:vAlign w:val="center"/>
          </w:tcPr>
          <w:p w14:paraId="7C9DACD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全市森林乡村建设</w:t>
            </w:r>
          </w:p>
        </w:tc>
        <w:tc>
          <w:tcPr>
            <w:tcW w:w="1113" w:type="dxa"/>
            <w:vAlign w:val="center"/>
          </w:tcPr>
          <w:p w14:paraId="2206FBC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村</w:t>
            </w:r>
          </w:p>
        </w:tc>
        <w:tc>
          <w:tcPr>
            <w:tcW w:w="1300" w:type="dxa"/>
            <w:vAlign w:val="center"/>
          </w:tcPr>
          <w:p w14:paraId="0BE548D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23</w:t>
            </w:r>
          </w:p>
        </w:tc>
        <w:tc>
          <w:tcPr>
            <w:tcW w:w="1278" w:type="dxa"/>
            <w:vAlign w:val="center"/>
          </w:tcPr>
          <w:p w14:paraId="709C1F3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50</w:t>
            </w:r>
          </w:p>
        </w:tc>
        <w:tc>
          <w:tcPr>
            <w:tcW w:w="841" w:type="dxa"/>
            <w:vAlign w:val="center"/>
          </w:tcPr>
          <w:p w14:paraId="6022B41C">
            <w:pPr>
              <w:spacing w:line="300" w:lineRule="exact"/>
              <w:jc w:val="center"/>
              <w:rPr>
                <w:rFonts w:hint="eastAsia" w:ascii="仿宋_GB2312" w:hAnsi="仿宋_GB2312" w:eastAsia="仿宋_GB2312" w:cs="仿宋_GB2312"/>
                <w:color w:val="auto"/>
                <w:sz w:val="28"/>
                <w:szCs w:val="28"/>
              </w:rPr>
            </w:pPr>
          </w:p>
        </w:tc>
      </w:tr>
      <w:tr w14:paraId="05DBC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4E442171">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316D0D2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3862" w:type="dxa"/>
            <w:vAlign w:val="center"/>
          </w:tcPr>
          <w:p w14:paraId="20ACF55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村庄绿化覆盖率</w:t>
            </w:r>
          </w:p>
        </w:tc>
        <w:tc>
          <w:tcPr>
            <w:tcW w:w="1113" w:type="dxa"/>
            <w:vAlign w:val="center"/>
          </w:tcPr>
          <w:p w14:paraId="37BFAF1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983691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27</w:t>
            </w:r>
          </w:p>
        </w:tc>
        <w:tc>
          <w:tcPr>
            <w:tcW w:w="1278" w:type="dxa"/>
            <w:vAlign w:val="center"/>
          </w:tcPr>
          <w:p w14:paraId="659428A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40</w:t>
            </w:r>
          </w:p>
        </w:tc>
        <w:tc>
          <w:tcPr>
            <w:tcW w:w="841" w:type="dxa"/>
            <w:vAlign w:val="center"/>
          </w:tcPr>
          <w:p w14:paraId="2238F55E">
            <w:pPr>
              <w:spacing w:line="300" w:lineRule="exact"/>
              <w:jc w:val="center"/>
              <w:rPr>
                <w:rFonts w:hint="eastAsia" w:ascii="仿宋_GB2312" w:hAnsi="仿宋_GB2312" w:eastAsia="仿宋_GB2312" w:cs="仿宋_GB2312"/>
                <w:color w:val="auto"/>
                <w:sz w:val="28"/>
                <w:szCs w:val="28"/>
              </w:rPr>
            </w:pPr>
          </w:p>
        </w:tc>
      </w:tr>
      <w:tr w14:paraId="1BC3B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blHeader/>
          <w:jc w:val="center"/>
        </w:trPr>
        <w:tc>
          <w:tcPr>
            <w:tcW w:w="577" w:type="dxa"/>
            <w:vMerge w:val="continue"/>
            <w:vAlign w:val="center"/>
          </w:tcPr>
          <w:p w14:paraId="4FE7BD15">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21C960B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3862" w:type="dxa"/>
            <w:vAlign w:val="center"/>
          </w:tcPr>
          <w:p w14:paraId="44F2828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生活垃圾有效处理率(行政村覆盖率)</w:t>
            </w:r>
          </w:p>
        </w:tc>
        <w:tc>
          <w:tcPr>
            <w:tcW w:w="1113" w:type="dxa"/>
            <w:vAlign w:val="center"/>
          </w:tcPr>
          <w:p w14:paraId="1D76610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4D6CC38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85</w:t>
            </w:r>
          </w:p>
        </w:tc>
        <w:tc>
          <w:tcPr>
            <w:tcW w:w="1278" w:type="dxa"/>
            <w:vAlign w:val="center"/>
          </w:tcPr>
          <w:p w14:paraId="28F54C2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97</w:t>
            </w:r>
          </w:p>
        </w:tc>
        <w:tc>
          <w:tcPr>
            <w:tcW w:w="841" w:type="dxa"/>
            <w:vAlign w:val="center"/>
          </w:tcPr>
          <w:p w14:paraId="1F6007E3">
            <w:pPr>
              <w:spacing w:line="300" w:lineRule="exact"/>
              <w:jc w:val="center"/>
              <w:rPr>
                <w:rFonts w:hint="eastAsia" w:ascii="仿宋_GB2312" w:hAnsi="仿宋_GB2312" w:eastAsia="仿宋_GB2312" w:cs="仿宋_GB2312"/>
                <w:color w:val="auto"/>
                <w:sz w:val="28"/>
                <w:szCs w:val="28"/>
              </w:rPr>
            </w:pPr>
          </w:p>
        </w:tc>
      </w:tr>
      <w:tr w14:paraId="4A754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B345923">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59C2BF4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3862" w:type="dxa"/>
            <w:vAlign w:val="center"/>
          </w:tcPr>
          <w:p w14:paraId="1497B2C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农村生活污水处理率</w:t>
            </w:r>
          </w:p>
        </w:tc>
        <w:tc>
          <w:tcPr>
            <w:tcW w:w="1113" w:type="dxa"/>
            <w:vAlign w:val="center"/>
          </w:tcPr>
          <w:p w14:paraId="2BE4952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1B83DC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16</w:t>
            </w:r>
          </w:p>
        </w:tc>
        <w:tc>
          <w:tcPr>
            <w:tcW w:w="1278" w:type="dxa"/>
            <w:vAlign w:val="center"/>
          </w:tcPr>
          <w:p w14:paraId="7A83530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25</w:t>
            </w:r>
          </w:p>
        </w:tc>
        <w:tc>
          <w:tcPr>
            <w:tcW w:w="841" w:type="dxa"/>
            <w:vAlign w:val="center"/>
          </w:tcPr>
          <w:p w14:paraId="547420DA">
            <w:pPr>
              <w:spacing w:line="300" w:lineRule="exact"/>
              <w:jc w:val="center"/>
              <w:rPr>
                <w:rFonts w:hint="eastAsia" w:ascii="仿宋_GB2312" w:hAnsi="仿宋_GB2312" w:eastAsia="仿宋_GB2312" w:cs="仿宋_GB2312"/>
                <w:color w:val="auto"/>
                <w:sz w:val="28"/>
                <w:szCs w:val="28"/>
              </w:rPr>
            </w:pPr>
          </w:p>
        </w:tc>
      </w:tr>
      <w:tr w14:paraId="65DDD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17D1213">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10108DB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3862" w:type="dxa"/>
            <w:vAlign w:val="center"/>
          </w:tcPr>
          <w:p w14:paraId="2E7FDA6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农村卫生厕所普及率</w:t>
            </w:r>
          </w:p>
        </w:tc>
        <w:tc>
          <w:tcPr>
            <w:tcW w:w="1113" w:type="dxa"/>
            <w:vAlign w:val="center"/>
          </w:tcPr>
          <w:p w14:paraId="389033D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74F1A02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74.4</w:t>
            </w:r>
          </w:p>
        </w:tc>
        <w:tc>
          <w:tcPr>
            <w:tcW w:w="1278" w:type="dxa"/>
            <w:vAlign w:val="center"/>
          </w:tcPr>
          <w:p w14:paraId="4C7E03B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92</w:t>
            </w:r>
          </w:p>
        </w:tc>
        <w:tc>
          <w:tcPr>
            <w:tcW w:w="841" w:type="dxa"/>
            <w:vAlign w:val="center"/>
          </w:tcPr>
          <w:p w14:paraId="454F1F36">
            <w:pPr>
              <w:spacing w:line="300" w:lineRule="exact"/>
              <w:jc w:val="center"/>
              <w:rPr>
                <w:rFonts w:hint="eastAsia" w:ascii="仿宋_GB2312" w:hAnsi="仿宋_GB2312" w:eastAsia="仿宋_GB2312" w:cs="仿宋_GB2312"/>
                <w:color w:val="auto"/>
                <w:sz w:val="28"/>
                <w:szCs w:val="28"/>
              </w:rPr>
            </w:pPr>
          </w:p>
        </w:tc>
      </w:tr>
      <w:tr w14:paraId="41124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301BEA11">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7064319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3862" w:type="dxa"/>
            <w:vAlign w:val="center"/>
          </w:tcPr>
          <w:p w14:paraId="463992A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农村新型能源普及率</w:t>
            </w:r>
          </w:p>
        </w:tc>
        <w:tc>
          <w:tcPr>
            <w:tcW w:w="1113" w:type="dxa"/>
            <w:vAlign w:val="center"/>
          </w:tcPr>
          <w:p w14:paraId="5B92A77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30F0893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26.0</w:t>
            </w:r>
          </w:p>
        </w:tc>
        <w:tc>
          <w:tcPr>
            <w:tcW w:w="1278" w:type="dxa"/>
            <w:vAlign w:val="center"/>
          </w:tcPr>
          <w:p w14:paraId="781BCCA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60.0</w:t>
            </w:r>
          </w:p>
        </w:tc>
        <w:tc>
          <w:tcPr>
            <w:tcW w:w="841" w:type="dxa"/>
            <w:vAlign w:val="center"/>
          </w:tcPr>
          <w:p w14:paraId="5CF581C4">
            <w:pPr>
              <w:spacing w:line="300" w:lineRule="exact"/>
              <w:jc w:val="center"/>
              <w:rPr>
                <w:rFonts w:hint="eastAsia" w:ascii="仿宋_GB2312" w:hAnsi="仿宋_GB2312" w:eastAsia="仿宋_GB2312" w:cs="仿宋_GB2312"/>
                <w:color w:val="auto"/>
                <w:sz w:val="28"/>
                <w:szCs w:val="28"/>
              </w:rPr>
            </w:pPr>
          </w:p>
        </w:tc>
      </w:tr>
      <w:tr w14:paraId="20BED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7A6A8581">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287B534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3862" w:type="dxa"/>
            <w:vAlign w:val="center"/>
          </w:tcPr>
          <w:p w14:paraId="53DAFE3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畜禽粪污综合利用率</w:t>
            </w:r>
          </w:p>
        </w:tc>
        <w:tc>
          <w:tcPr>
            <w:tcW w:w="1113" w:type="dxa"/>
            <w:vAlign w:val="center"/>
          </w:tcPr>
          <w:p w14:paraId="36A5A85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2F972F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9</w:t>
            </w:r>
            <w:r>
              <w:rPr>
                <w:rFonts w:hint="eastAsia" w:ascii="仿宋_GB2312" w:hAnsi="仿宋_GB2312" w:eastAsia="仿宋_GB2312" w:cs="仿宋_GB2312"/>
                <w:color w:val="auto"/>
                <w:sz w:val="28"/>
                <w:szCs w:val="28"/>
                <w:lang w:val="en-US" w:eastAsia="zh-CN"/>
              </w:rPr>
              <w:t>0</w:t>
            </w:r>
          </w:p>
        </w:tc>
        <w:tc>
          <w:tcPr>
            <w:tcW w:w="1278" w:type="dxa"/>
            <w:vAlign w:val="center"/>
          </w:tcPr>
          <w:p w14:paraId="3BDA4E6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highlight w:val="none"/>
                <w:lang w:val="en-US" w:eastAsia="zh-CN"/>
              </w:rPr>
              <w:t>＞</w:t>
            </w:r>
            <w:r>
              <w:rPr>
                <w:rFonts w:hint="eastAsia" w:ascii="仿宋_GB2312" w:hAnsi="仿宋_GB2312" w:eastAsia="仿宋_GB2312" w:cs="仿宋_GB2312"/>
                <w:color w:val="auto"/>
                <w:sz w:val="28"/>
                <w:szCs w:val="28"/>
                <w:lang w:val="en-US" w:eastAsia="zh-CN"/>
              </w:rPr>
              <w:t>93</w:t>
            </w:r>
          </w:p>
        </w:tc>
        <w:tc>
          <w:tcPr>
            <w:tcW w:w="841" w:type="dxa"/>
            <w:vAlign w:val="center"/>
          </w:tcPr>
          <w:p w14:paraId="4882A087">
            <w:pPr>
              <w:spacing w:line="300" w:lineRule="exact"/>
              <w:jc w:val="center"/>
              <w:rPr>
                <w:rFonts w:hint="eastAsia" w:ascii="仿宋_GB2312" w:hAnsi="仿宋_GB2312" w:eastAsia="仿宋_GB2312" w:cs="仿宋_GB2312"/>
                <w:color w:val="auto"/>
                <w:sz w:val="28"/>
                <w:szCs w:val="28"/>
              </w:rPr>
            </w:pPr>
          </w:p>
        </w:tc>
      </w:tr>
      <w:tr w14:paraId="7ED7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1FC74A45">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31C49CE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3862" w:type="dxa"/>
            <w:vAlign w:val="center"/>
          </w:tcPr>
          <w:p w14:paraId="529EEBE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畜禽废污处理</w:t>
            </w:r>
            <w:r>
              <w:rPr>
                <w:rFonts w:hint="eastAsia" w:ascii="仿宋_GB2312" w:hAnsi="仿宋_GB2312" w:eastAsia="仿宋_GB2312" w:cs="仿宋_GB2312"/>
                <w:color w:val="auto"/>
                <w:sz w:val="28"/>
                <w:szCs w:val="28"/>
                <w:lang w:eastAsia="zh-CN"/>
              </w:rPr>
              <w:t>设施装备</w:t>
            </w:r>
            <w:r>
              <w:rPr>
                <w:rFonts w:hint="eastAsia" w:ascii="仿宋_GB2312" w:hAnsi="仿宋_GB2312" w:eastAsia="仿宋_GB2312" w:cs="仿宋_GB2312"/>
                <w:color w:val="auto"/>
                <w:sz w:val="28"/>
                <w:szCs w:val="28"/>
              </w:rPr>
              <w:t>配套率</w:t>
            </w:r>
          </w:p>
        </w:tc>
        <w:tc>
          <w:tcPr>
            <w:tcW w:w="1113" w:type="dxa"/>
            <w:vAlign w:val="center"/>
          </w:tcPr>
          <w:p w14:paraId="54E70EB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6D55645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97.5</w:t>
            </w:r>
          </w:p>
        </w:tc>
        <w:tc>
          <w:tcPr>
            <w:tcW w:w="1278" w:type="dxa"/>
            <w:vAlign w:val="center"/>
          </w:tcPr>
          <w:p w14:paraId="06DFBA4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＞98</w:t>
            </w:r>
          </w:p>
        </w:tc>
        <w:tc>
          <w:tcPr>
            <w:tcW w:w="841" w:type="dxa"/>
            <w:vAlign w:val="center"/>
          </w:tcPr>
          <w:p w14:paraId="0EBF9EBF">
            <w:pPr>
              <w:spacing w:line="300" w:lineRule="exact"/>
              <w:jc w:val="center"/>
              <w:rPr>
                <w:rFonts w:hint="eastAsia" w:ascii="仿宋_GB2312" w:hAnsi="仿宋_GB2312" w:eastAsia="仿宋_GB2312" w:cs="仿宋_GB2312"/>
                <w:color w:val="auto"/>
                <w:sz w:val="28"/>
                <w:szCs w:val="28"/>
              </w:rPr>
            </w:pPr>
          </w:p>
        </w:tc>
      </w:tr>
      <w:tr w14:paraId="7DF39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22BC38C2">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42A306D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p>
        </w:tc>
        <w:tc>
          <w:tcPr>
            <w:tcW w:w="3862" w:type="dxa"/>
            <w:vAlign w:val="center"/>
          </w:tcPr>
          <w:p w14:paraId="5FF3B93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秸秆综合利用率</w:t>
            </w:r>
          </w:p>
        </w:tc>
        <w:tc>
          <w:tcPr>
            <w:tcW w:w="1113" w:type="dxa"/>
            <w:vAlign w:val="center"/>
          </w:tcPr>
          <w:p w14:paraId="45BF4DB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73A4996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90</w:t>
            </w:r>
          </w:p>
        </w:tc>
        <w:tc>
          <w:tcPr>
            <w:tcW w:w="1278" w:type="dxa"/>
            <w:vAlign w:val="center"/>
          </w:tcPr>
          <w:p w14:paraId="03656B8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90</w:t>
            </w:r>
          </w:p>
        </w:tc>
        <w:tc>
          <w:tcPr>
            <w:tcW w:w="841" w:type="dxa"/>
            <w:vAlign w:val="center"/>
          </w:tcPr>
          <w:p w14:paraId="1AB2D5AD">
            <w:pPr>
              <w:spacing w:line="300" w:lineRule="exact"/>
              <w:jc w:val="center"/>
              <w:rPr>
                <w:rFonts w:hint="eastAsia" w:ascii="仿宋_GB2312" w:hAnsi="仿宋_GB2312" w:eastAsia="仿宋_GB2312" w:cs="仿宋_GB2312"/>
                <w:color w:val="auto"/>
                <w:sz w:val="28"/>
                <w:szCs w:val="28"/>
              </w:rPr>
            </w:pPr>
          </w:p>
        </w:tc>
      </w:tr>
      <w:tr w14:paraId="04D20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51A55FF8">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6BE1425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11</w:t>
            </w:r>
          </w:p>
        </w:tc>
        <w:tc>
          <w:tcPr>
            <w:tcW w:w="3862" w:type="dxa"/>
            <w:vAlign w:val="center"/>
          </w:tcPr>
          <w:p w14:paraId="082479F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美丽宜居示范村</w:t>
            </w:r>
          </w:p>
        </w:tc>
        <w:tc>
          <w:tcPr>
            <w:tcW w:w="1113" w:type="dxa"/>
            <w:vAlign w:val="center"/>
          </w:tcPr>
          <w:p w14:paraId="3F9F23B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个</w:t>
            </w:r>
          </w:p>
        </w:tc>
        <w:tc>
          <w:tcPr>
            <w:tcW w:w="1300" w:type="dxa"/>
            <w:vAlign w:val="center"/>
          </w:tcPr>
          <w:p w14:paraId="303998D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649</w:t>
            </w:r>
          </w:p>
        </w:tc>
        <w:tc>
          <w:tcPr>
            <w:tcW w:w="1278" w:type="dxa"/>
            <w:vAlign w:val="center"/>
          </w:tcPr>
          <w:p w14:paraId="4376B5C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299</w:t>
            </w:r>
          </w:p>
        </w:tc>
        <w:tc>
          <w:tcPr>
            <w:tcW w:w="841" w:type="dxa"/>
            <w:vAlign w:val="center"/>
          </w:tcPr>
          <w:p w14:paraId="3630AFF6">
            <w:pPr>
              <w:spacing w:line="300" w:lineRule="exact"/>
              <w:jc w:val="center"/>
              <w:rPr>
                <w:rFonts w:hint="eastAsia" w:ascii="仿宋_GB2312" w:hAnsi="仿宋_GB2312" w:eastAsia="仿宋_GB2312" w:cs="仿宋_GB2312"/>
                <w:color w:val="auto"/>
                <w:sz w:val="28"/>
                <w:szCs w:val="28"/>
              </w:rPr>
            </w:pPr>
          </w:p>
        </w:tc>
      </w:tr>
      <w:tr w14:paraId="76664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2A160F05">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40A0D28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12</w:t>
            </w:r>
          </w:p>
        </w:tc>
        <w:tc>
          <w:tcPr>
            <w:tcW w:w="3862" w:type="dxa"/>
            <w:vAlign w:val="center"/>
          </w:tcPr>
          <w:p w14:paraId="5D6359C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休闲农业收入</w:t>
            </w:r>
          </w:p>
        </w:tc>
        <w:tc>
          <w:tcPr>
            <w:tcW w:w="1113" w:type="dxa"/>
            <w:vAlign w:val="center"/>
          </w:tcPr>
          <w:p w14:paraId="70E8507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亿元</w:t>
            </w:r>
          </w:p>
        </w:tc>
        <w:tc>
          <w:tcPr>
            <w:tcW w:w="1300" w:type="dxa"/>
            <w:vAlign w:val="center"/>
          </w:tcPr>
          <w:p w14:paraId="72A441C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8.5</w:t>
            </w:r>
          </w:p>
        </w:tc>
        <w:tc>
          <w:tcPr>
            <w:tcW w:w="1278" w:type="dxa"/>
            <w:vAlign w:val="center"/>
          </w:tcPr>
          <w:p w14:paraId="266896A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20</w:t>
            </w:r>
          </w:p>
        </w:tc>
        <w:tc>
          <w:tcPr>
            <w:tcW w:w="841" w:type="dxa"/>
            <w:vAlign w:val="center"/>
          </w:tcPr>
          <w:p w14:paraId="1C51A28E">
            <w:pPr>
              <w:spacing w:line="300" w:lineRule="exact"/>
              <w:jc w:val="center"/>
              <w:rPr>
                <w:rFonts w:hint="eastAsia" w:ascii="仿宋_GB2312" w:hAnsi="仿宋_GB2312" w:eastAsia="仿宋_GB2312" w:cs="仿宋_GB2312"/>
                <w:color w:val="auto"/>
                <w:sz w:val="28"/>
                <w:szCs w:val="28"/>
              </w:rPr>
            </w:pPr>
          </w:p>
        </w:tc>
      </w:tr>
      <w:tr w14:paraId="21CA3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restart"/>
            <w:vAlign w:val="center"/>
          </w:tcPr>
          <w:p w14:paraId="4BEBE177">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乡村文明治理</w:t>
            </w:r>
          </w:p>
        </w:tc>
        <w:tc>
          <w:tcPr>
            <w:tcW w:w="578" w:type="dxa"/>
            <w:vAlign w:val="center"/>
          </w:tcPr>
          <w:p w14:paraId="263A3C8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862" w:type="dxa"/>
            <w:vAlign w:val="center"/>
          </w:tcPr>
          <w:p w14:paraId="3774383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农村文体设施完善率</w:t>
            </w:r>
          </w:p>
        </w:tc>
        <w:tc>
          <w:tcPr>
            <w:tcW w:w="1113" w:type="dxa"/>
            <w:vAlign w:val="center"/>
          </w:tcPr>
          <w:p w14:paraId="1E22593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D2BC6F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89</w:t>
            </w:r>
          </w:p>
        </w:tc>
        <w:tc>
          <w:tcPr>
            <w:tcW w:w="1278" w:type="dxa"/>
            <w:vAlign w:val="center"/>
          </w:tcPr>
          <w:p w14:paraId="4BDC5F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99</w:t>
            </w:r>
          </w:p>
        </w:tc>
        <w:tc>
          <w:tcPr>
            <w:tcW w:w="841" w:type="dxa"/>
            <w:vAlign w:val="center"/>
          </w:tcPr>
          <w:p w14:paraId="31925DC9">
            <w:pPr>
              <w:spacing w:line="300" w:lineRule="exact"/>
              <w:jc w:val="center"/>
              <w:rPr>
                <w:rFonts w:hint="eastAsia" w:ascii="仿宋_GB2312" w:hAnsi="仿宋_GB2312" w:eastAsia="仿宋_GB2312" w:cs="仿宋_GB2312"/>
                <w:color w:val="auto"/>
                <w:sz w:val="28"/>
                <w:szCs w:val="28"/>
              </w:rPr>
            </w:pPr>
          </w:p>
        </w:tc>
      </w:tr>
      <w:tr w14:paraId="3B0C8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5F084B33">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17DBF7A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3862" w:type="dxa"/>
            <w:vAlign w:val="center"/>
          </w:tcPr>
          <w:p w14:paraId="024D9F1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村民自治制度完善率</w:t>
            </w:r>
          </w:p>
        </w:tc>
        <w:tc>
          <w:tcPr>
            <w:tcW w:w="1113" w:type="dxa"/>
            <w:vAlign w:val="center"/>
          </w:tcPr>
          <w:p w14:paraId="48A2807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6C4518C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78</w:t>
            </w:r>
          </w:p>
        </w:tc>
        <w:tc>
          <w:tcPr>
            <w:tcW w:w="1278" w:type="dxa"/>
            <w:vAlign w:val="center"/>
          </w:tcPr>
          <w:p w14:paraId="0BE69A6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95</w:t>
            </w:r>
          </w:p>
        </w:tc>
        <w:tc>
          <w:tcPr>
            <w:tcW w:w="841" w:type="dxa"/>
            <w:vAlign w:val="center"/>
          </w:tcPr>
          <w:p w14:paraId="1EADE04E">
            <w:pPr>
              <w:spacing w:line="300" w:lineRule="exact"/>
              <w:jc w:val="center"/>
              <w:rPr>
                <w:rFonts w:hint="eastAsia" w:ascii="仿宋_GB2312" w:hAnsi="仿宋_GB2312" w:eastAsia="仿宋_GB2312" w:cs="仿宋_GB2312"/>
                <w:color w:val="auto"/>
                <w:sz w:val="28"/>
                <w:szCs w:val="28"/>
              </w:rPr>
            </w:pPr>
          </w:p>
        </w:tc>
      </w:tr>
      <w:tr w14:paraId="4C325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2A7615F9">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2A544A6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3862" w:type="dxa"/>
            <w:vAlign w:val="center"/>
          </w:tcPr>
          <w:p w14:paraId="0360FAD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法制教育普及率</w:t>
            </w:r>
          </w:p>
        </w:tc>
        <w:tc>
          <w:tcPr>
            <w:tcW w:w="1113" w:type="dxa"/>
            <w:vAlign w:val="center"/>
          </w:tcPr>
          <w:p w14:paraId="72C8A93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3763B34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70</w:t>
            </w:r>
          </w:p>
        </w:tc>
        <w:tc>
          <w:tcPr>
            <w:tcW w:w="1278" w:type="dxa"/>
            <w:vAlign w:val="center"/>
          </w:tcPr>
          <w:p w14:paraId="04450A8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95</w:t>
            </w:r>
          </w:p>
        </w:tc>
        <w:tc>
          <w:tcPr>
            <w:tcW w:w="841" w:type="dxa"/>
            <w:vAlign w:val="center"/>
          </w:tcPr>
          <w:p w14:paraId="31D77D72">
            <w:pPr>
              <w:spacing w:line="300" w:lineRule="exact"/>
              <w:jc w:val="center"/>
              <w:rPr>
                <w:rFonts w:hint="eastAsia" w:ascii="仿宋_GB2312" w:hAnsi="仿宋_GB2312" w:eastAsia="仿宋_GB2312" w:cs="仿宋_GB2312"/>
                <w:color w:val="auto"/>
                <w:sz w:val="28"/>
                <w:szCs w:val="28"/>
              </w:rPr>
            </w:pPr>
          </w:p>
        </w:tc>
      </w:tr>
      <w:tr w14:paraId="2D85E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7AF58CFF">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373FB03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3862" w:type="dxa"/>
            <w:vAlign w:val="center"/>
          </w:tcPr>
          <w:p w14:paraId="0DD9C5C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以德治村群众满意度</w:t>
            </w:r>
          </w:p>
        </w:tc>
        <w:tc>
          <w:tcPr>
            <w:tcW w:w="1113" w:type="dxa"/>
            <w:vAlign w:val="center"/>
          </w:tcPr>
          <w:p w14:paraId="0E22FC9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6A6D73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68</w:t>
            </w:r>
          </w:p>
        </w:tc>
        <w:tc>
          <w:tcPr>
            <w:tcW w:w="1278" w:type="dxa"/>
            <w:vAlign w:val="center"/>
          </w:tcPr>
          <w:p w14:paraId="0423ED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92</w:t>
            </w:r>
          </w:p>
        </w:tc>
        <w:tc>
          <w:tcPr>
            <w:tcW w:w="841" w:type="dxa"/>
            <w:vAlign w:val="center"/>
          </w:tcPr>
          <w:p w14:paraId="0909BC76">
            <w:pPr>
              <w:spacing w:line="300" w:lineRule="exact"/>
              <w:jc w:val="center"/>
              <w:rPr>
                <w:rFonts w:hint="eastAsia" w:ascii="仿宋_GB2312" w:hAnsi="仿宋_GB2312" w:eastAsia="仿宋_GB2312" w:cs="仿宋_GB2312"/>
                <w:color w:val="auto"/>
                <w:sz w:val="28"/>
                <w:szCs w:val="28"/>
              </w:rPr>
            </w:pPr>
          </w:p>
        </w:tc>
      </w:tr>
      <w:tr w14:paraId="1D631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EC3030E">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5081CFB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3862" w:type="dxa"/>
            <w:vAlign w:val="center"/>
          </w:tcPr>
          <w:p w14:paraId="33D16A9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落实</w:t>
            </w:r>
            <w:r>
              <w:rPr>
                <w:rFonts w:hint="eastAsia" w:ascii="仿宋_GB2312" w:hAnsi="仿宋_GB2312" w:eastAsia="仿宋_GB2312" w:cs="仿宋_GB2312"/>
                <w:color w:val="auto"/>
                <w:sz w:val="28"/>
                <w:szCs w:val="28"/>
              </w:rPr>
              <w:t>“一约五会”村庄覆盖率</w:t>
            </w:r>
          </w:p>
        </w:tc>
        <w:tc>
          <w:tcPr>
            <w:tcW w:w="1113" w:type="dxa"/>
            <w:vAlign w:val="center"/>
          </w:tcPr>
          <w:p w14:paraId="2F3AD9C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B7D3A7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70</w:t>
            </w:r>
          </w:p>
        </w:tc>
        <w:tc>
          <w:tcPr>
            <w:tcW w:w="1278" w:type="dxa"/>
            <w:vAlign w:val="center"/>
          </w:tcPr>
          <w:p w14:paraId="525BF97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100</w:t>
            </w:r>
          </w:p>
        </w:tc>
        <w:tc>
          <w:tcPr>
            <w:tcW w:w="841" w:type="dxa"/>
            <w:vAlign w:val="center"/>
          </w:tcPr>
          <w:p w14:paraId="33F75BBA">
            <w:pPr>
              <w:spacing w:line="300" w:lineRule="exact"/>
              <w:jc w:val="center"/>
              <w:rPr>
                <w:rFonts w:hint="eastAsia" w:ascii="仿宋_GB2312" w:hAnsi="仿宋_GB2312" w:eastAsia="仿宋_GB2312" w:cs="仿宋_GB2312"/>
                <w:color w:val="auto"/>
                <w:sz w:val="28"/>
                <w:szCs w:val="28"/>
              </w:rPr>
            </w:pPr>
          </w:p>
        </w:tc>
      </w:tr>
      <w:tr w14:paraId="362C1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019D057E">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576A04F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3862" w:type="dxa"/>
            <w:vAlign w:val="center"/>
          </w:tcPr>
          <w:p w14:paraId="1A9EC33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农村基础设施完善率</w:t>
            </w:r>
          </w:p>
        </w:tc>
        <w:tc>
          <w:tcPr>
            <w:tcW w:w="1113" w:type="dxa"/>
            <w:vAlign w:val="center"/>
          </w:tcPr>
          <w:p w14:paraId="58345E0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2D54B8B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83</w:t>
            </w:r>
          </w:p>
        </w:tc>
        <w:tc>
          <w:tcPr>
            <w:tcW w:w="1278" w:type="dxa"/>
            <w:vAlign w:val="center"/>
          </w:tcPr>
          <w:p w14:paraId="1C127F8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95</w:t>
            </w:r>
          </w:p>
        </w:tc>
        <w:tc>
          <w:tcPr>
            <w:tcW w:w="841" w:type="dxa"/>
            <w:vAlign w:val="center"/>
          </w:tcPr>
          <w:p w14:paraId="05B444C5">
            <w:pPr>
              <w:spacing w:line="300" w:lineRule="exact"/>
              <w:jc w:val="center"/>
              <w:rPr>
                <w:rFonts w:hint="eastAsia" w:ascii="仿宋_GB2312" w:hAnsi="仿宋_GB2312" w:eastAsia="仿宋_GB2312" w:cs="仿宋_GB2312"/>
                <w:color w:val="auto"/>
                <w:sz w:val="28"/>
                <w:szCs w:val="28"/>
              </w:rPr>
            </w:pPr>
          </w:p>
        </w:tc>
      </w:tr>
      <w:tr w14:paraId="567CE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1F2F1E55">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1C103B2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3862" w:type="dxa"/>
            <w:vAlign w:val="center"/>
          </w:tcPr>
          <w:p w14:paraId="4913485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农村基本养老保险参保率</w:t>
            </w:r>
          </w:p>
        </w:tc>
        <w:tc>
          <w:tcPr>
            <w:tcW w:w="1113" w:type="dxa"/>
            <w:vAlign w:val="center"/>
          </w:tcPr>
          <w:p w14:paraId="1EA3B90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1DA3ACC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94</w:t>
            </w:r>
          </w:p>
        </w:tc>
        <w:tc>
          <w:tcPr>
            <w:tcW w:w="1278" w:type="dxa"/>
            <w:vAlign w:val="center"/>
          </w:tcPr>
          <w:p w14:paraId="7C02766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＞95</w:t>
            </w:r>
          </w:p>
        </w:tc>
        <w:tc>
          <w:tcPr>
            <w:tcW w:w="841" w:type="dxa"/>
            <w:vAlign w:val="center"/>
          </w:tcPr>
          <w:p w14:paraId="786DECA6">
            <w:pPr>
              <w:spacing w:line="300" w:lineRule="exact"/>
              <w:jc w:val="center"/>
              <w:rPr>
                <w:rFonts w:hint="eastAsia" w:ascii="仿宋_GB2312" w:hAnsi="仿宋_GB2312" w:eastAsia="仿宋_GB2312" w:cs="仿宋_GB2312"/>
                <w:color w:val="auto"/>
                <w:sz w:val="28"/>
                <w:szCs w:val="28"/>
              </w:rPr>
            </w:pPr>
          </w:p>
        </w:tc>
      </w:tr>
      <w:tr w14:paraId="2CE83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13722ED">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6F3688C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3862" w:type="dxa"/>
            <w:vAlign w:val="center"/>
          </w:tcPr>
          <w:p w14:paraId="7851A5A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农村电商覆盖率</w:t>
            </w:r>
          </w:p>
        </w:tc>
        <w:tc>
          <w:tcPr>
            <w:tcW w:w="1113" w:type="dxa"/>
            <w:vAlign w:val="center"/>
          </w:tcPr>
          <w:p w14:paraId="7F3D5F0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0D91886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30</w:t>
            </w:r>
          </w:p>
        </w:tc>
        <w:tc>
          <w:tcPr>
            <w:tcW w:w="1278" w:type="dxa"/>
            <w:vAlign w:val="center"/>
          </w:tcPr>
          <w:p w14:paraId="587A5DC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90</w:t>
            </w:r>
          </w:p>
        </w:tc>
        <w:tc>
          <w:tcPr>
            <w:tcW w:w="841" w:type="dxa"/>
            <w:vAlign w:val="center"/>
          </w:tcPr>
          <w:p w14:paraId="6EEDC9C7">
            <w:pPr>
              <w:spacing w:line="300" w:lineRule="exact"/>
              <w:jc w:val="center"/>
              <w:rPr>
                <w:rFonts w:hint="eastAsia" w:ascii="仿宋_GB2312" w:hAnsi="仿宋_GB2312" w:eastAsia="仿宋_GB2312" w:cs="仿宋_GB2312"/>
                <w:color w:val="auto"/>
                <w:sz w:val="28"/>
                <w:szCs w:val="28"/>
              </w:rPr>
            </w:pPr>
          </w:p>
        </w:tc>
      </w:tr>
      <w:tr w14:paraId="6BDB0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continue"/>
            <w:vAlign w:val="center"/>
          </w:tcPr>
          <w:p w14:paraId="6A9A2232">
            <w:pPr>
              <w:spacing w:line="360" w:lineRule="exact"/>
              <w:jc w:val="center"/>
              <w:rPr>
                <w:rFonts w:hint="eastAsia" w:ascii="仿宋_GB2312" w:hAnsi="仿宋_GB2312" w:eastAsia="仿宋_GB2312" w:cs="仿宋_GB2312"/>
                <w:color w:val="auto"/>
                <w:sz w:val="28"/>
                <w:szCs w:val="28"/>
              </w:rPr>
            </w:pPr>
          </w:p>
        </w:tc>
        <w:tc>
          <w:tcPr>
            <w:tcW w:w="578" w:type="dxa"/>
            <w:vAlign w:val="center"/>
          </w:tcPr>
          <w:p w14:paraId="7ACD270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3862" w:type="dxa"/>
            <w:vAlign w:val="center"/>
          </w:tcPr>
          <w:p w14:paraId="51A90CC9">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农村安全饮水达标率</w:t>
            </w:r>
          </w:p>
        </w:tc>
        <w:tc>
          <w:tcPr>
            <w:tcW w:w="1113" w:type="dxa"/>
            <w:vAlign w:val="center"/>
          </w:tcPr>
          <w:p w14:paraId="6B91202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51712FB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98</w:t>
            </w:r>
          </w:p>
        </w:tc>
        <w:tc>
          <w:tcPr>
            <w:tcW w:w="1278" w:type="dxa"/>
            <w:vAlign w:val="center"/>
          </w:tcPr>
          <w:p w14:paraId="2852290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100</w:t>
            </w:r>
          </w:p>
        </w:tc>
        <w:tc>
          <w:tcPr>
            <w:tcW w:w="841" w:type="dxa"/>
            <w:vAlign w:val="center"/>
          </w:tcPr>
          <w:p w14:paraId="11E27543">
            <w:pPr>
              <w:spacing w:line="300" w:lineRule="exact"/>
              <w:jc w:val="center"/>
              <w:rPr>
                <w:rFonts w:hint="eastAsia" w:ascii="仿宋_GB2312" w:hAnsi="仿宋_GB2312" w:eastAsia="仿宋_GB2312" w:cs="仿宋_GB2312"/>
                <w:color w:val="auto"/>
                <w:sz w:val="28"/>
                <w:szCs w:val="28"/>
              </w:rPr>
            </w:pPr>
          </w:p>
        </w:tc>
      </w:tr>
      <w:tr w14:paraId="2C57C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577" w:type="dxa"/>
            <w:vMerge w:val="restart"/>
            <w:vAlign w:val="center"/>
          </w:tcPr>
          <w:p w14:paraId="627AAFEF">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深化农村改革</w:t>
            </w:r>
          </w:p>
        </w:tc>
        <w:tc>
          <w:tcPr>
            <w:tcW w:w="578" w:type="dxa"/>
            <w:vAlign w:val="center"/>
          </w:tcPr>
          <w:p w14:paraId="7F7DFE0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862" w:type="dxa"/>
            <w:vAlign w:val="center"/>
          </w:tcPr>
          <w:p w14:paraId="5A02F55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农民专业合作社</w:t>
            </w:r>
          </w:p>
        </w:tc>
        <w:tc>
          <w:tcPr>
            <w:tcW w:w="1113" w:type="dxa"/>
            <w:vAlign w:val="center"/>
          </w:tcPr>
          <w:p w14:paraId="6B648CC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个</w:t>
            </w:r>
          </w:p>
        </w:tc>
        <w:tc>
          <w:tcPr>
            <w:tcW w:w="1300" w:type="dxa"/>
            <w:vAlign w:val="center"/>
          </w:tcPr>
          <w:p w14:paraId="17DD1D5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14639</w:t>
            </w:r>
          </w:p>
        </w:tc>
        <w:tc>
          <w:tcPr>
            <w:tcW w:w="1278" w:type="dxa"/>
            <w:vAlign w:val="center"/>
          </w:tcPr>
          <w:p w14:paraId="1B66CF1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＞15000</w:t>
            </w:r>
          </w:p>
        </w:tc>
        <w:tc>
          <w:tcPr>
            <w:tcW w:w="841" w:type="dxa"/>
            <w:vAlign w:val="center"/>
          </w:tcPr>
          <w:p w14:paraId="4A4B3CA3">
            <w:pPr>
              <w:spacing w:line="300" w:lineRule="exact"/>
              <w:jc w:val="center"/>
              <w:rPr>
                <w:rFonts w:hint="eastAsia" w:ascii="仿宋_GB2312" w:hAnsi="仿宋_GB2312" w:eastAsia="仿宋_GB2312" w:cs="仿宋_GB2312"/>
                <w:color w:val="auto"/>
                <w:sz w:val="28"/>
                <w:szCs w:val="28"/>
              </w:rPr>
            </w:pPr>
          </w:p>
        </w:tc>
      </w:tr>
      <w:tr w14:paraId="4E141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blHeader/>
          <w:jc w:val="center"/>
        </w:trPr>
        <w:tc>
          <w:tcPr>
            <w:tcW w:w="577" w:type="dxa"/>
            <w:vMerge w:val="continue"/>
            <w:vAlign w:val="center"/>
          </w:tcPr>
          <w:p w14:paraId="105515C2">
            <w:pPr>
              <w:spacing w:line="360" w:lineRule="exact"/>
              <w:jc w:val="center"/>
              <w:rPr>
                <w:rFonts w:ascii="仿宋" w:hAnsi="仿宋" w:eastAsia="仿宋" w:cs="仿宋"/>
                <w:color w:val="auto"/>
                <w:sz w:val="28"/>
                <w:szCs w:val="28"/>
              </w:rPr>
            </w:pPr>
          </w:p>
        </w:tc>
        <w:tc>
          <w:tcPr>
            <w:tcW w:w="578" w:type="dxa"/>
            <w:vAlign w:val="center"/>
          </w:tcPr>
          <w:p w14:paraId="103DE8C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2</w:t>
            </w:r>
          </w:p>
        </w:tc>
        <w:tc>
          <w:tcPr>
            <w:tcW w:w="3862" w:type="dxa"/>
            <w:vAlign w:val="center"/>
          </w:tcPr>
          <w:p w14:paraId="6E9E9E6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集体经济年</w:t>
            </w:r>
            <w:r>
              <w:rPr>
                <w:rFonts w:hint="eastAsia" w:ascii="仿宋_GB2312" w:hAnsi="仿宋_GB2312" w:eastAsia="仿宋_GB2312" w:cs="仿宋_GB2312"/>
                <w:color w:val="auto"/>
                <w:sz w:val="28"/>
                <w:szCs w:val="28"/>
                <w:lang w:eastAsia="zh-CN"/>
              </w:rPr>
              <w:t>收入</w:t>
            </w:r>
            <w:r>
              <w:rPr>
                <w:rFonts w:hint="eastAsia" w:ascii="仿宋_GB2312" w:hAnsi="仿宋_GB2312" w:eastAsia="仿宋_GB2312" w:cs="仿宋_GB2312"/>
                <w:color w:val="auto"/>
                <w:sz w:val="28"/>
                <w:szCs w:val="28"/>
                <w:lang w:val="en-US" w:eastAsia="zh-CN"/>
              </w:rPr>
              <w:t>10</w:t>
            </w:r>
            <w:r>
              <w:rPr>
                <w:rFonts w:hint="eastAsia" w:ascii="仿宋_GB2312" w:hAnsi="仿宋_GB2312" w:eastAsia="仿宋_GB2312" w:cs="仿宋_GB2312"/>
                <w:color w:val="auto"/>
                <w:sz w:val="28"/>
                <w:szCs w:val="28"/>
              </w:rPr>
              <w:t>万元以上村覆盖率</w:t>
            </w:r>
          </w:p>
        </w:tc>
        <w:tc>
          <w:tcPr>
            <w:tcW w:w="1113" w:type="dxa"/>
            <w:vAlign w:val="center"/>
          </w:tcPr>
          <w:p w14:paraId="2632B5F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p>
        </w:tc>
        <w:tc>
          <w:tcPr>
            <w:tcW w:w="1300" w:type="dxa"/>
            <w:vAlign w:val="center"/>
          </w:tcPr>
          <w:p w14:paraId="1E3D6C1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0</w:t>
            </w:r>
          </w:p>
        </w:tc>
        <w:tc>
          <w:tcPr>
            <w:tcW w:w="1278" w:type="dxa"/>
            <w:vAlign w:val="center"/>
          </w:tcPr>
          <w:p w14:paraId="68EA7C4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10</w:t>
            </w:r>
            <w:r>
              <w:rPr>
                <w:rFonts w:hint="eastAsia" w:ascii="仿宋_GB2312" w:hAnsi="仿宋_GB2312" w:eastAsia="仿宋_GB2312" w:cs="仿宋_GB2312"/>
                <w:color w:val="auto"/>
                <w:sz w:val="28"/>
                <w:szCs w:val="28"/>
              </w:rPr>
              <w:t>0</w:t>
            </w:r>
          </w:p>
        </w:tc>
        <w:tc>
          <w:tcPr>
            <w:tcW w:w="841" w:type="dxa"/>
            <w:vAlign w:val="center"/>
          </w:tcPr>
          <w:p w14:paraId="20CB5C8C">
            <w:pPr>
              <w:spacing w:line="300" w:lineRule="exact"/>
              <w:jc w:val="center"/>
              <w:rPr>
                <w:rFonts w:hint="eastAsia" w:ascii="仿宋_GB2312" w:hAnsi="仿宋_GB2312" w:eastAsia="仿宋_GB2312" w:cs="仿宋_GB2312"/>
                <w:color w:val="auto"/>
                <w:sz w:val="28"/>
                <w:szCs w:val="28"/>
              </w:rPr>
            </w:pPr>
          </w:p>
        </w:tc>
      </w:tr>
    </w:tbl>
    <w:p w14:paraId="527CD8E1">
      <w:pPr>
        <w:keepNext w:val="0"/>
        <w:keepLines w:val="0"/>
        <w:pageBreakBefore w:val="0"/>
        <w:widowControl/>
        <w:kinsoku/>
        <w:wordWrap/>
        <w:overflowPunct/>
        <w:topLinePunct w:val="0"/>
        <w:autoSpaceDE/>
        <w:autoSpaceDN/>
        <w:bidi w:val="0"/>
        <w:spacing w:line="240" w:lineRule="auto"/>
        <w:jc w:val="left"/>
        <w:textAlignment w:val="auto"/>
        <w:outlineLvl w:val="9"/>
        <w:rPr>
          <w:rFonts w:hint="eastAsia" w:ascii="黑体" w:hAnsi="黑体" w:eastAsia="黑体" w:cs="黑体"/>
          <w:bCs/>
          <w:color w:val="auto"/>
          <w:sz w:val="36"/>
          <w:szCs w:val="36"/>
        </w:rPr>
      </w:pPr>
      <w:bookmarkStart w:id="66" w:name="_Toc1900"/>
    </w:p>
    <w:p w14:paraId="5DE70CB8">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r>
        <w:rPr>
          <w:rFonts w:hint="eastAsia" w:ascii="黑体" w:hAnsi="黑体" w:eastAsia="黑体" w:cs="黑体"/>
          <w:bCs/>
          <w:color w:val="auto"/>
          <w:sz w:val="36"/>
          <w:szCs w:val="36"/>
        </w:rPr>
        <w:t>第三章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推进现代农业高质量发展</w:t>
      </w:r>
      <w:bookmarkEnd w:id="66"/>
    </w:p>
    <w:p w14:paraId="29B1FF7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p>
    <w:p w14:paraId="0E6CF586">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67" w:name="_Toc10423"/>
      <w:r>
        <w:rPr>
          <w:rFonts w:hint="eastAsia" w:ascii="楷体_GB2312" w:hAnsi="楷体_GB2312" w:eastAsia="楷体_GB2312" w:cs="楷体_GB2312"/>
          <w:bCs/>
          <w:color w:val="auto"/>
          <w:sz w:val="32"/>
          <w:szCs w:val="32"/>
        </w:rPr>
        <w:t>第一节  构建现代农业高质量发展新格局</w:t>
      </w:r>
      <w:bookmarkEnd w:id="67"/>
    </w:p>
    <w:p w14:paraId="709E5A6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 xml:space="preserve"> </w:t>
      </w:r>
    </w:p>
    <w:p w14:paraId="26D8704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立足产业振兴、农民增收，构建“基地示范、园区引领、轴线分布、板块覆盖、集群发展”的产业经济带，将空间布局和功能拓展相结合，形成布局结构合理、产业特色突出、资源配置科学、综合功能齐全的现代农业发展新格局，结合运城“一极三带三区”</w:t>
      </w:r>
      <w:r>
        <w:rPr>
          <w:rFonts w:hint="eastAsia" w:ascii="仿宋_GB2312" w:hAnsi="仿宋_GB2312" w:eastAsia="仿宋_GB2312" w:cs="仿宋_GB2312"/>
          <w:color w:val="auto"/>
          <w:sz w:val="32"/>
          <w:szCs w:val="32"/>
          <w:lang w:eastAsia="zh-CN"/>
        </w:rPr>
        <w:t>产业空间</w:t>
      </w:r>
      <w:r>
        <w:rPr>
          <w:rFonts w:hint="eastAsia" w:ascii="仿宋_GB2312" w:hAnsi="仿宋_GB2312" w:eastAsia="仿宋_GB2312" w:cs="仿宋_GB2312"/>
          <w:color w:val="auto"/>
          <w:sz w:val="32"/>
          <w:szCs w:val="32"/>
        </w:rPr>
        <w:t>布局，统筹考虑运城山水河流、丘陵盆地和产业发展基础，规划建设“一极四带、七大产业板块”的结构布局。</w:t>
      </w:r>
      <w:bookmarkStart w:id="68" w:name="_Toc17715"/>
    </w:p>
    <w:p w14:paraId="118A458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一、盐临夏一体化发展增长极</w:t>
      </w:r>
      <w:bookmarkEnd w:id="68"/>
    </w:p>
    <w:p w14:paraId="58170AA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围绕打造现代农业强市战略定位和推动盐临夏一体化发展增长极</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发展布局要求，</w:t>
      </w:r>
      <w:r>
        <w:rPr>
          <w:rFonts w:hint="eastAsia" w:ascii="仿宋_GB2312" w:hAnsi="仿宋_GB2312" w:eastAsia="仿宋_GB2312" w:cs="仿宋_GB2312"/>
          <w:color w:val="auto"/>
          <w:sz w:val="32"/>
          <w:szCs w:val="32"/>
          <w:lang w:val="en-US" w:eastAsia="zh-CN"/>
        </w:rPr>
        <w:t>根据运城城区“中优、北进、东拓、西联”发展策略，</w:t>
      </w:r>
      <w:r>
        <w:rPr>
          <w:rFonts w:hint="eastAsia" w:ascii="仿宋_GB2312" w:hAnsi="仿宋_GB2312" w:eastAsia="仿宋_GB2312" w:cs="仿宋_GB2312"/>
          <w:color w:val="auto"/>
          <w:sz w:val="32"/>
          <w:szCs w:val="32"/>
        </w:rPr>
        <w:t>全面推进盐临夏一体化协同发展，加快城区产业功能与城镇功能聚合、三产融合联动发展，形成以城带乡、城乡融合发展新格局。布局建设城郊农业、功能农业、休闲观光农业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美丽</w:t>
      </w:r>
      <w:r>
        <w:rPr>
          <w:rFonts w:hint="eastAsia" w:ascii="仿宋_GB2312" w:hAnsi="仿宋_GB2312" w:eastAsia="仿宋_GB2312" w:cs="仿宋_GB2312"/>
          <w:color w:val="auto"/>
          <w:spacing w:val="0"/>
          <w:sz w:val="32"/>
          <w:szCs w:val="32"/>
          <w:lang w:val="en-US" w:eastAsia="zh-CN"/>
        </w:rPr>
        <w:t>宜居</w:t>
      </w:r>
      <w:r>
        <w:rPr>
          <w:rFonts w:hint="eastAsia" w:ascii="仿宋_GB2312" w:hAnsi="仿宋_GB2312" w:eastAsia="仿宋_GB2312" w:cs="仿宋_GB2312"/>
          <w:color w:val="auto"/>
          <w:sz w:val="32"/>
          <w:szCs w:val="32"/>
        </w:rPr>
        <w:t>乡村</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lang w:val="en-US" w:eastAsia="zh-CN"/>
        </w:rPr>
        <w:t>全面</w:t>
      </w:r>
      <w:r>
        <w:rPr>
          <w:rFonts w:hint="eastAsia" w:ascii="仿宋_GB2312" w:hAnsi="仿宋_GB2312" w:eastAsia="仿宋_GB2312" w:cs="仿宋_GB2312"/>
          <w:color w:val="auto"/>
          <w:sz w:val="32"/>
          <w:szCs w:val="32"/>
          <w:lang w:eastAsia="zh-CN"/>
        </w:rPr>
        <w:t>推动</w:t>
      </w:r>
      <w:r>
        <w:rPr>
          <w:rFonts w:hint="eastAsia" w:ascii="仿宋_GB2312" w:hAnsi="仿宋_GB2312" w:eastAsia="仿宋_GB2312" w:cs="仿宋_GB2312"/>
          <w:color w:val="auto"/>
          <w:sz w:val="32"/>
          <w:szCs w:val="32"/>
        </w:rPr>
        <w:t>盐湖现代农业融合发展</w:t>
      </w:r>
      <w:r>
        <w:rPr>
          <w:rFonts w:hint="eastAsia" w:ascii="仿宋_GB2312" w:hAnsi="仿宋_GB2312" w:eastAsia="仿宋_GB2312" w:cs="仿宋_GB2312"/>
          <w:color w:val="auto"/>
          <w:sz w:val="32"/>
          <w:szCs w:val="32"/>
          <w:lang w:eastAsia="zh-CN"/>
        </w:rPr>
        <w:t>示范区、临猗县农业</w:t>
      </w:r>
      <w:r>
        <w:rPr>
          <w:rFonts w:hint="eastAsia" w:ascii="仿宋_GB2312" w:hAnsi="仿宋_GB2312" w:eastAsia="仿宋_GB2312" w:cs="仿宋_GB2312"/>
          <w:color w:val="auto"/>
          <w:sz w:val="32"/>
          <w:szCs w:val="32"/>
          <w:lang w:val="en-US" w:eastAsia="zh-CN"/>
        </w:rPr>
        <w:t>现代化发展示范区、</w:t>
      </w:r>
      <w:r>
        <w:rPr>
          <w:rFonts w:hint="eastAsia" w:ascii="仿宋_GB2312" w:hAnsi="仿宋_GB2312" w:eastAsia="仿宋_GB2312" w:cs="仿宋_GB2312"/>
          <w:color w:val="auto"/>
          <w:spacing w:val="0"/>
          <w:sz w:val="32"/>
          <w:szCs w:val="32"/>
        </w:rPr>
        <w:t>夏县特色农旅产业发展</w:t>
      </w:r>
      <w:r>
        <w:rPr>
          <w:rFonts w:hint="eastAsia" w:ascii="仿宋_GB2312" w:hAnsi="仿宋_GB2312" w:eastAsia="仿宋_GB2312" w:cs="仿宋_GB2312"/>
          <w:color w:val="auto"/>
          <w:spacing w:val="0"/>
          <w:sz w:val="32"/>
          <w:szCs w:val="32"/>
          <w:lang w:val="en-US" w:eastAsia="zh-CN"/>
        </w:rPr>
        <w:t>示范区建设，</w:t>
      </w:r>
      <w:r>
        <w:rPr>
          <w:rFonts w:hint="eastAsia" w:ascii="仿宋_GB2312" w:hAnsi="仿宋_GB2312" w:eastAsia="仿宋_GB2312" w:cs="仿宋_GB2312"/>
          <w:color w:val="auto"/>
          <w:sz w:val="32"/>
          <w:szCs w:val="32"/>
          <w:lang w:val="en-US" w:eastAsia="zh-CN"/>
        </w:rPr>
        <w:t>将盐临夏</w:t>
      </w:r>
      <w:r>
        <w:rPr>
          <w:rFonts w:hint="eastAsia" w:ascii="仿宋_GB2312" w:hAnsi="仿宋_GB2312" w:eastAsia="仿宋_GB2312" w:cs="仿宋_GB2312"/>
          <w:color w:val="auto"/>
          <w:sz w:val="32"/>
          <w:szCs w:val="32"/>
        </w:rPr>
        <w:t>建成运城</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农业现代化的引领区、乡村建设的示范区、产城一体的创新区。</w:t>
      </w:r>
    </w:p>
    <w:p w14:paraId="0BAB4989">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color w:val="auto"/>
          <w:spacing w:val="-6"/>
          <w:sz w:val="32"/>
          <w:szCs w:val="32"/>
        </w:rPr>
      </w:pPr>
      <w:r>
        <w:rPr>
          <w:rFonts w:hint="eastAsia" w:ascii="仿宋_GB2312" w:hAnsi="仿宋_GB2312" w:eastAsia="仿宋_GB2312" w:cs="仿宋_GB2312"/>
          <w:b/>
          <w:bCs/>
          <w:color w:val="auto"/>
          <w:sz w:val="32"/>
          <w:szCs w:val="32"/>
        </w:rPr>
        <w:t>功能定位：</w:t>
      </w:r>
      <w:r>
        <w:rPr>
          <w:rFonts w:hint="eastAsia" w:ascii="仿宋_GB2312" w:hAnsi="仿宋_GB2312" w:eastAsia="仿宋_GB2312" w:cs="仿宋_GB2312"/>
          <w:color w:val="auto"/>
          <w:sz w:val="32"/>
          <w:szCs w:val="32"/>
        </w:rPr>
        <w:t>依托城市、</w:t>
      </w:r>
      <w:r>
        <w:rPr>
          <w:rFonts w:hint="eastAsia" w:ascii="仿宋_GB2312" w:hAnsi="仿宋_GB2312" w:eastAsia="仿宋_GB2312" w:cs="仿宋_GB2312"/>
          <w:color w:val="auto"/>
          <w:spacing w:val="-6"/>
          <w:sz w:val="32"/>
          <w:szCs w:val="32"/>
        </w:rPr>
        <w:t>服务城市、特色发展，建成运城农业农村现代化的引领区、乡村建设的示范区、产城一体的创新区。</w:t>
      </w:r>
    </w:p>
    <w:p w14:paraId="6ADC2FCF">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产业定位：</w:t>
      </w:r>
      <w:r>
        <w:rPr>
          <w:rFonts w:hint="eastAsia" w:ascii="仿宋_GB2312" w:hAnsi="仿宋_GB2312" w:eastAsia="仿宋_GB2312" w:cs="仿宋_GB2312"/>
          <w:color w:val="auto"/>
          <w:sz w:val="32"/>
          <w:szCs w:val="32"/>
        </w:rPr>
        <w:t>设施农业、粮菜基地、农产品加工、畜牧养殖、果品苗木、休闲观光农业、商贸物流、文化旅游。重点打造现代农业精品园区、现代农业产业示范区、农产品加工集聚区，形成运城最具竞争力的农业生产、加工、物流基地。</w:t>
      </w:r>
      <w:bookmarkStart w:id="69" w:name="_Toc25563"/>
    </w:p>
    <w:p w14:paraId="48BC553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二、黄汾生态保护和高质量发展</w:t>
      </w:r>
      <w:r>
        <w:rPr>
          <w:rFonts w:hint="eastAsia" w:ascii="黑体" w:hAnsi="黑体" w:eastAsia="黑体" w:cs="方正楷体_GBK"/>
          <w:bCs/>
          <w:color w:val="auto"/>
          <w:sz w:val="32"/>
          <w:szCs w:val="32"/>
          <w:lang w:eastAsia="zh-CN"/>
        </w:rPr>
        <w:t>示范</w:t>
      </w:r>
      <w:r>
        <w:rPr>
          <w:rFonts w:hint="eastAsia" w:ascii="黑体" w:hAnsi="黑体" w:eastAsia="黑体" w:cs="方正楷体_GBK"/>
          <w:bCs/>
          <w:color w:val="auto"/>
          <w:sz w:val="32"/>
          <w:szCs w:val="32"/>
        </w:rPr>
        <w:t>带</w:t>
      </w:r>
      <w:bookmarkEnd w:id="69"/>
    </w:p>
    <w:p w14:paraId="6A76D56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黄河</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汾河既是母亲河，又是生态河，更是特色农业经济带。汾河流经新绛、稷山、河津在万荣入黄，形成壮丽景观，为运城最大的水资源利用地。黄河自西绕南向东流经河津、万荣、临猗、永济、芮城、平陆、夏县、垣曲8个县（市），造就了百万亩滩地和大小不一的水库，依托黄河汾河滩地、黄河景观、黄土沟壑地貌，在10县（市）连片打造黄汾百万亩粮食优质高产高效示范基地、黄河生态宜居廊带、“黄河1号旅游公路+”旅游观光轴线，形成集优质粮食生产、高档水产、畜牧养殖、林果苗木、休闲度假、水上观光、野趣体验、古渡冒险、生态绿化于一体的百万亩特色经济带。</w:t>
      </w:r>
      <w:bookmarkStart w:id="70" w:name="_Toc3066"/>
    </w:p>
    <w:p w14:paraId="0C06310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shd w:val="clear" w:color="FFFFFF" w:fill="D9D9D9"/>
        </w:rPr>
      </w:pPr>
      <w:r>
        <w:rPr>
          <w:rFonts w:hint="eastAsia" w:ascii="黑体" w:hAnsi="黑体" w:eastAsia="黑体" w:cs="方正楷体_GBK"/>
          <w:bCs/>
          <w:color w:val="auto"/>
          <w:sz w:val="32"/>
          <w:szCs w:val="32"/>
        </w:rPr>
        <w:t>三、</w:t>
      </w:r>
      <w:r>
        <w:rPr>
          <w:rFonts w:hint="eastAsia" w:ascii="黑体" w:hAnsi="黑体" w:eastAsia="黑体" w:cs="方正楷体_GBK"/>
          <w:bCs/>
          <w:color w:val="auto"/>
          <w:sz w:val="32"/>
          <w:szCs w:val="32"/>
          <w:lang w:val="zh-CN" w:eastAsia="zh-CN"/>
        </w:rPr>
        <w:t>绿水青山</w:t>
      </w:r>
      <w:r>
        <w:rPr>
          <w:rFonts w:hint="eastAsia" w:ascii="黑体" w:hAnsi="黑体" w:eastAsia="黑体" w:cs="方正楷体_GBK"/>
          <w:bCs/>
          <w:color w:val="auto"/>
          <w:sz w:val="32"/>
          <w:szCs w:val="32"/>
        </w:rPr>
        <w:t>中条新生态文旅经济示范带</w:t>
      </w:r>
      <w:bookmarkEnd w:id="70"/>
    </w:p>
    <w:p w14:paraId="16BEA8A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pacing w:val="-6"/>
          <w:sz w:val="32"/>
          <w:szCs w:val="32"/>
        </w:rPr>
      </w:pPr>
      <w:r>
        <w:rPr>
          <w:rFonts w:hint="eastAsia" w:ascii="仿宋_GB2312" w:hAnsi="仿宋_GB2312" w:eastAsia="仿宋_GB2312" w:cs="仿宋_GB2312"/>
          <w:color w:val="auto"/>
          <w:sz w:val="32"/>
          <w:szCs w:val="32"/>
        </w:rPr>
        <w:t>中条山位于运城东南部，海拔在1000米以上，主要包括垣曲、平陆、芮城的全部和绛县、夏县</w:t>
      </w:r>
      <w:r>
        <w:rPr>
          <w:rFonts w:hint="eastAsia" w:ascii="仿宋_GB2312" w:hAnsi="仿宋_GB2312" w:eastAsia="仿宋_GB2312" w:cs="仿宋_GB2312"/>
          <w:color w:val="auto"/>
          <w:sz w:val="32"/>
          <w:szCs w:val="32"/>
          <w:lang w:eastAsia="zh-CN"/>
        </w:rPr>
        <w:t>、闻喜</w:t>
      </w:r>
      <w:r>
        <w:rPr>
          <w:rFonts w:hint="eastAsia" w:ascii="仿宋_GB2312" w:hAnsi="仿宋_GB2312" w:eastAsia="仿宋_GB2312" w:cs="仿宋_GB2312"/>
          <w:color w:val="auto"/>
          <w:sz w:val="32"/>
          <w:szCs w:val="32"/>
        </w:rPr>
        <w:t>的东南部及永济、盐湖的南部，总面积约532194公顷，占全市面积的37.5%。该地山峦叠嶂，树木参天，植被覆盖茂密，间有山间盆地，涧水溪流不断，西部的南坡缓平倾斜，土层深厚，沟壑深长。区域内有历山舜王坪、五老峰、</w:t>
      </w:r>
      <w:r>
        <w:rPr>
          <w:rFonts w:hint="eastAsia" w:ascii="仿宋_GB2312" w:hAnsi="仿宋_GB2312" w:eastAsia="仿宋_GB2312" w:cs="仿宋_GB2312"/>
          <w:color w:val="auto"/>
          <w:sz w:val="32"/>
          <w:szCs w:val="32"/>
          <w:lang w:eastAsia="zh-CN"/>
        </w:rPr>
        <w:t>汤</w:t>
      </w:r>
      <w:r>
        <w:rPr>
          <w:rFonts w:hint="eastAsia" w:ascii="仿宋_GB2312" w:hAnsi="仿宋_GB2312" w:eastAsia="仿宋_GB2312" w:cs="仿宋_GB2312"/>
          <w:color w:val="auto"/>
          <w:sz w:val="32"/>
          <w:szCs w:val="32"/>
        </w:rPr>
        <w:t>王山等自然风景区和深厚旅游文化、人文景观，野生资源丰富，生态园林面积广阔。要加快生态恢复，加大荒山荒坡治理，突出生态绿化和经济林建设，发展山域经济、沟域经济和林下经济为主的的畜牧养殖、中药材和食用菌等产业。重点加大林地、园地的保护力度，开发利用适林、宜园土地后</w:t>
      </w:r>
      <w:r>
        <w:rPr>
          <w:rFonts w:hint="eastAsia" w:ascii="仿宋_GB2312" w:hAnsi="仿宋_GB2312" w:eastAsia="仿宋_GB2312" w:cs="仿宋_GB2312"/>
          <w:color w:val="auto"/>
          <w:spacing w:val="-6"/>
          <w:sz w:val="32"/>
          <w:szCs w:val="32"/>
        </w:rPr>
        <w:t>备资源，增加干果经济林和优质水果规模，结合旅游景点建设生态景观，打造运城市环山生态屏障和文旅经济示范带。</w:t>
      </w:r>
      <w:bookmarkStart w:id="71" w:name="_Toc9734"/>
    </w:p>
    <w:p w14:paraId="78C37D5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四、峨嵋岭绿色产业示范带</w:t>
      </w:r>
      <w:bookmarkEnd w:id="71"/>
    </w:p>
    <w:p w14:paraId="1A1E337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峨嵋</w:t>
      </w:r>
      <w:r>
        <w:rPr>
          <w:rFonts w:hint="eastAsia" w:ascii="仿宋_GB2312" w:hAnsi="仿宋_GB2312" w:eastAsia="仿宋_GB2312" w:cs="仿宋_GB2312"/>
          <w:color w:val="auto"/>
          <w:sz w:val="32"/>
          <w:szCs w:val="32"/>
          <w:lang w:eastAsia="zh-CN"/>
        </w:rPr>
        <w:t>岭</w:t>
      </w:r>
      <w:r>
        <w:rPr>
          <w:rFonts w:hint="eastAsia" w:ascii="仿宋_GB2312" w:hAnsi="仿宋_GB2312" w:eastAsia="仿宋_GB2312" w:cs="仿宋_GB2312"/>
          <w:color w:val="auto"/>
          <w:sz w:val="32"/>
          <w:szCs w:val="32"/>
        </w:rPr>
        <w:t>横卧全市中部地区，市内东起绛县、西至黄河岸边，呈东北——西南走向，横跨绛县、闻喜、稷山、盐湖、临猗、万荣、河津南部七县，主要分布于临猗、万荣、闻喜三县，总面积2800平方公里（合420万亩），占全市总面积的20%，海拔在800m左右，主峰有稷王山、孤峰山等，具有纯绿色的发展环境。该地台垣面积广阔，地势较平坦，是全市最佳的苹果、桃、梨、冬枣等生产区。应加大土地整理和引黄水利设施建设，重点</w:t>
      </w:r>
      <w:r>
        <w:rPr>
          <w:rFonts w:hint="eastAsia" w:ascii="仿宋_GB2312" w:hAnsi="仿宋_GB2312" w:eastAsia="仿宋_GB2312" w:cs="仿宋_GB2312"/>
          <w:color w:val="auto"/>
          <w:spacing w:val="-6"/>
          <w:sz w:val="32"/>
          <w:szCs w:val="32"/>
        </w:rPr>
        <w:t>发展林果经济和部分粮菜作物，打造全国优质苹果生产基地</w:t>
      </w:r>
      <w:r>
        <w:rPr>
          <w:rFonts w:hint="eastAsia" w:ascii="仿宋_GB2312" w:hAnsi="仿宋_GB2312" w:eastAsia="仿宋_GB2312" w:cs="仿宋_GB2312"/>
          <w:color w:val="auto"/>
          <w:sz w:val="32"/>
          <w:szCs w:val="32"/>
        </w:rPr>
        <w:t>。</w:t>
      </w:r>
      <w:bookmarkStart w:id="72" w:name="_Toc1177"/>
    </w:p>
    <w:p w14:paraId="2B0212A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五、涑水河产业融合发展</w:t>
      </w:r>
      <w:r>
        <w:rPr>
          <w:rFonts w:hint="eastAsia" w:ascii="黑体" w:hAnsi="黑体" w:eastAsia="黑体" w:cs="方正楷体_GBK"/>
          <w:bCs/>
          <w:color w:val="auto"/>
          <w:sz w:val="32"/>
          <w:szCs w:val="32"/>
          <w:lang w:eastAsia="zh-CN"/>
        </w:rPr>
        <w:t>示范</w:t>
      </w:r>
      <w:r>
        <w:rPr>
          <w:rFonts w:hint="eastAsia" w:ascii="黑体" w:hAnsi="黑体" w:eastAsia="黑体" w:cs="方正楷体_GBK"/>
          <w:bCs/>
          <w:color w:val="auto"/>
          <w:sz w:val="32"/>
          <w:szCs w:val="32"/>
        </w:rPr>
        <w:t>带</w:t>
      </w:r>
      <w:bookmarkEnd w:id="72"/>
    </w:p>
    <w:p w14:paraId="7C236C8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涑水河与大运路河路并行，为全市生态轴线、产业集聚带和村镇集聚带。涑水河自绛县经闻喜、夏县、临猗、盐湖、永济入黄河，大运路自闻喜礼元入运起至风陵渡，自东西向西南斜贯整个市域。形成了由涑水河流域、大运一级路、大运高速和南同蒲铁路并行的产业融合发展带，连接了粮食产区、蔬菜主产区和农产品加工物流区、林果经济带。应增厚加宽沿线的生态林带，加快布局建设设施农业、万亩粮食基地、现代农业园区、农产品加工园区和涑水河流域的特色农业发展，打造涑水河产业融合发展廊带。</w:t>
      </w:r>
      <w:bookmarkStart w:id="73" w:name="_Toc30444"/>
    </w:p>
    <w:p w14:paraId="05F2E67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六、七大产业板块</w:t>
      </w:r>
      <w:bookmarkEnd w:id="73"/>
    </w:p>
    <w:p w14:paraId="34A3457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74" w:name="_Toc392518216"/>
      <w:bookmarkEnd w:id="74"/>
      <w:r>
        <w:rPr>
          <w:rFonts w:hint="eastAsia" w:ascii="楷体_GB2312" w:hAnsi="楷体_GB2312" w:eastAsia="楷体_GB2312" w:cs="楷体_GB2312"/>
          <w:color w:val="auto"/>
          <w:sz w:val="32"/>
          <w:szCs w:val="32"/>
        </w:rPr>
        <w:t>1.优质粮食产业板块。</w:t>
      </w:r>
      <w:r>
        <w:rPr>
          <w:rFonts w:hint="eastAsia" w:ascii="仿宋_GB2312" w:hAnsi="仿宋_GB2312" w:eastAsia="仿宋_GB2312" w:cs="仿宋_GB2312"/>
          <w:color w:val="auto"/>
          <w:sz w:val="32"/>
          <w:szCs w:val="32"/>
        </w:rPr>
        <w:t>布局于黄汾经济带，以及在永济、芮城、新绛、闻喜、夏县、稷山等粮食主产区，重点发展小麦、玉米、杂粮等。将旱稻、水稻</w:t>
      </w:r>
      <w:r>
        <w:rPr>
          <w:rFonts w:hint="eastAsia" w:ascii="仿宋_GB2312" w:hAnsi="仿宋_GB2312" w:eastAsia="仿宋_GB2312" w:cs="仿宋_GB2312"/>
          <w:color w:val="auto"/>
          <w:sz w:val="32"/>
          <w:szCs w:val="32"/>
          <w:lang w:eastAsia="zh-CN"/>
        </w:rPr>
        <w:t>、盐碱地水稻</w:t>
      </w:r>
      <w:r>
        <w:rPr>
          <w:rFonts w:hint="eastAsia" w:ascii="仿宋_GB2312" w:hAnsi="仿宋_GB2312" w:eastAsia="仿宋_GB2312" w:cs="仿宋_GB2312"/>
          <w:color w:val="auto"/>
          <w:sz w:val="32"/>
          <w:szCs w:val="32"/>
        </w:rPr>
        <w:t>作为未来的特色粮食产业，重点打造。</w:t>
      </w:r>
    </w:p>
    <w:p w14:paraId="39151AF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2.优质水果产业板块。</w:t>
      </w:r>
      <w:r>
        <w:rPr>
          <w:rFonts w:hint="eastAsia" w:ascii="仿宋_GB2312" w:hAnsi="仿宋_GB2312" w:eastAsia="仿宋_GB2312" w:cs="仿宋_GB2312"/>
          <w:color w:val="auto"/>
          <w:sz w:val="32"/>
          <w:szCs w:val="32"/>
        </w:rPr>
        <w:t>主要布局于海拔600—1000m的最佳水果生产的峨嵋岭绿色产业示范带和中条山生态经济带，即在平陆、芮城、绛县中条山一带，临猗、万荣、盐湖、稷山、夏县、永济峨嵋岭台地等，发展优质苹果、酥梨、樱桃、桃、葡萄、石榴等。</w:t>
      </w:r>
    </w:p>
    <w:p w14:paraId="2E177A2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3.绿色蔬菜产业板块。</w:t>
      </w:r>
      <w:r>
        <w:rPr>
          <w:rFonts w:hint="eastAsia" w:ascii="仿宋_GB2312" w:hAnsi="仿宋_GB2312" w:eastAsia="仿宋_GB2312" w:cs="仿宋_GB2312"/>
          <w:color w:val="auto"/>
          <w:sz w:val="32"/>
          <w:szCs w:val="32"/>
        </w:rPr>
        <w:t>以发展绿色蔬菜（食用菌）为基础，加快推进有机蔬菜发展。以新绛、夏县、闻喜、盐湖为主产区，永济、河津、万荣、芮城、临猗等为辐射，推动黄瓜、西红柿、莲菜、芦笋、辣椒、大葱、韭菜等生产向</w:t>
      </w:r>
      <w:r>
        <w:rPr>
          <w:rFonts w:hint="eastAsia" w:ascii="仿宋_GB2312" w:hAnsi="仿宋_GB2312" w:eastAsia="仿宋_GB2312" w:cs="仿宋_GB2312"/>
          <w:color w:val="auto"/>
          <w:sz w:val="32"/>
          <w:szCs w:val="32"/>
          <w:lang w:eastAsia="zh-CN"/>
        </w:rPr>
        <w:t>绿色、</w:t>
      </w:r>
      <w:r>
        <w:rPr>
          <w:rFonts w:hint="eastAsia" w:ascii="仿宋_GB2312" w:hAnsi="仿宋_GB2312" w:eastAsia="仿宋_GB2312" w:cs="仿宋_GB2312"/>
          <w:color w:val="auto"/>
          <w:sz w:val="32"/>
          <w:szCs w:val="32"/>
        </w:rPr>
        <w:t>有机发展。</w:t>
      </w:r>
    </w:p>
    <w:p w14:paraId="5DA132B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4.畜牧水产养殖板块。</w:t>
      </w:r>
      <w:r>
        <w:rPr>
          <w:rFonts w:hint="eastAsia" w:ascii="仿宋_GB2312" w:hAnsi="仿宋_GB2312" w:eastAsia="仿宋_GB2312" w:cs="仿宋_GB2312"/>
          <w:color w:val="auto"/>
          <w:sz w:val="32"/>
          <w:szCs w:val="32"/>
        </w:rPr>
        <w:t>以园区化、集群化打造养殖业板。在河津、万荣、芮城、平陆、垣曲等县（市）大力发展牛羊养殖。在芮城、闻喜、永济、临猗、万荣、盐湖、新绛等县（市、区）大力发展生猪养殖。在稷山、新绛、河津、万荣等县（市）大力发展蛋鸡养殖。在河津、万荣、临猗、永济、芮城、垣曲等县（市）大力发展特色水产养殖。</w:t>
      </w:r>
    </w:p>
    <w:p w14:paraId="6E6F4AB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5.中药材产业板块。</w:t>
      </w:r>
      <w:r>
        <w:rPr>
          <w:rFonts w:hint="eastAsia" w:ascii="仿宋_GB2312" w:hAnsi="仿宋_GB2312" w:eastAsia="仿宋_GB2312" w:cs="仿宋_GB2312"/>
          <w:color w:val="auto"/>
          <w:sz w:val="32"/>
          <w:szCs w:val="32"/>
        </w:rPr>
        <w:t>重点在中条山、稷王山两个中药材优势区的绛县、万荣、闻喜、夏县、稷山、垣曲、芮城、平陆、新绛等县发展道地中药材。重点发展远志、黄芩、丹参、柴胡、地黄、板蓝根、双季槐等优势品种。</w:t>
      </w:r>
    </w:p>
    <w:p w14:paraId="4E04233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6.现代种业产业板块。</w:t>
      </w:r>
      <w:r>
        <w:rPr>
          <w:rFonts w:hint="eastAsia" w:ascii="仿宋_GB2312" w:hAnsi="仿宋_GB2312" w:eastAsia="仿宋_GB2312" w:cs="仿宋_GB2312"/>
          <w:color w:val="auto"/>
          <w:sz w:val="32"/>
          <w:szCs w:val="32"/>
        </w:rPr>
        <w:t>以山西农业大学棉花研究所研发团队为核心的运城市现代种业联盟，辐射全市各县（市、区）和南繁基地，做大做强制种产业板块。</w:t>
      </w:r>
    </w:p>
    <w:p w14:paraId="05AC8EA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7.农产品加工业板块。</w:t>
      </w:r>
      <w:r>
        <w:rPr>
          <w:rFonts w:hint="eastAsia" w:ascii="仿宋_GB2312" w:hAnsi="仿宋_GB2312" w:eastAsia="仿宋_GB2312" w:cs="仿宋_GB2312"/>
          <w:color w:val="auto"/>
          <w:sz w:val="32"/>
          <w:szCs w:val="32"/>
        </w:rPr>
        <w:t>在蔬菜、水果主产区大力发展农产品产地初加工，在重点扶持临猗、万荣、芮城、垣曲等县的基础上，逐步扩展到所有县（市、区）。在盐湖、永济、河津、稷山、夏县等发展粮饲、肉品加工业。</w:t>
      </w:r>
    </w:p>
    <w:p w14:paraId="596EA9E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七、推动农业“六新”发展</w:t>
      </w:r>
    </w:p>
    <w:p w14:paraId="3A749CA7">
      <w:pPr>
        <w:keepNext w:val="0"/>
        <w:keepLines w:val="0"/>
        <w:pageBreakBefore w:val="0"/>
        <w:widowControl w:val="0"/>
        <w:kinsoku/>
        <w:wordWrap/>
        <w:topLinePunct w:val="0"/>
        <w:autoSpaceDE/>
        <w:autoSpaceDN/>
        <w:bidi w:val="0"/>
        <w:snapToGrid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新”代表先进生产力的变革趋势，代表着新兴产业、未来产业的发展方向，是我市农业农村转型发展的内涵、载体和标志，也是支撑所在、希望所在，具有无比广阔的发展前景。要牢牢抓住未来5-10年的转型窗口期、关键期，聚焦有机旱作农业、七大产业板块、三大省级战略、农产品精深加工十大产业集群等重大项目，聚力“卡脖子”技术、原创性技术、颠覆性技术、前沿性技术攻关，在新基建、新技术、新材料、新装备、新产品、新业态上不断取得突破，尽快形成一批“运”字头农业自主创新成果，着力实现农业农村“六新”取得重大突破，着力打造农业农村创新生态，实现“三农”高质量发展。到2022年，在全面启动农业农村领域“六新”发展的基础上，重点实施一批“六新”项目、培育一批“六新”企业、支持一批“六新”研发机构，率先在新技术研发应用、新产品开发、战略性产业上取得重点突破。到2025年，全市农业农村“六新”理念不断深植，“六新”项目不断推进，“六新”平台不断涌现，建成一批新基建项目，突破一批关键性技术，研制推广一批新材料，研发推广一批新装备，开发一批农产品精深加工新品系，培育一批农业农村新业态，形成“三农”领域“六新”成果持续突破，农业农村转型发展形成雏型。</w:t>
      </w:r>
    </w:p>
    <w:p w14:paraId="6C8C9657">
      <w:pPr>
        <w:keepNext w:val="0"/>
        <w:keepLines w:val="0"/>
        <w:pageBreakBefore w:val="0"/>
        <w:widowControl w:val="0"/>
        <w:kinsoku/>
        <w:wordWrap/>
        <w:topLinePunct w:val="0"/>
        <w:autoSpaceDE/>
        <w:autoSpaceDN/>
        <w:bidi w:val="0"/>
        <w:spacing w:line="650" w:lineRule="exact"/>
        <w:textAlignment w:val="auto"/>
        <w:rPr>
          <w:rFonts w:ascii="仿宋" w:hAnsi="仿宋" w:eastAsia="仿宋" w:cs="仿宋"/>
          <w:color w:val="auto"/>
          <w:sz w:val="32"/>
          <w:szCs w:val="32"/>
        </w:rPr>
      </w:pPr>
    </w:p>
    <w:p w14:paraId="5675B25E">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75" w:name="_Toc31044"/>
      <w:r>
        <w:rPr>
          <w:rFonts w:hint="eastAsia" w:ascii="楷体_GB2312" w:hAnsi="楷体_GB2312" w:eastAsia="楷体_GB2312" w:cs="楷体_GB2312"/>
          <w:bCs/>
          <w:color w:val="auto"/>
          <w:sz w:val="32"/>
          <w:szCs w:val="32"/>
        </w:rPr>
        <w:t xml:space="preserve">第二节  </w:t>
      </w:r>
      <w:r>
        <w:rPr>
          <w:rFonts w:hint="eastAsia" w:ascii="楷体_GB2312" w:hAnsi="楷体_GB2312" w:eastAsia="楷体_GB2312" w:cs="楷体_GB2312"/>
          <w:bCs/>
          <w:color w:val="auto"/>
          <w:sz w:val="32"/>
          <w:szCs w:val="32"/>
        </w:rPr>
        <w:fldChar w:fldCharType="begin"/>
      </w:r>
      <w:r>
        <w:rPr>
          <w:rFonts w:hint="eastAsia" w:ascii="楷体_GB2312" w:hAnsi="楷体_GB2312" w:eastAsia="楷体_GB2312" w:cs="楷体_GB2312"/>
          <w:bCs/>
          <w:color w:val="auto"/>
          <w:sz w:val="32"/>
          <w:szCs w:val="32"/>
        </w:rPr>
        <w:instrText xml:space="preserve"> HYPERLINK \l "_Toc16756369" </w:instrText>
      </w:r>
      <w:r>
        <w:rPr>
          <w:rFonts w:hint="eastAsia" w:ascii="楷体_GB2312" w:hAnsi="楷体_GB2312" w:eastAsia="楷体_GB2312" w:cs="楷体_GB2312"/>
          <w:bCs/>
          <w:color w:val="auto"/>
          <w:sz w:val="32"/>
          <w:szCs w:val="32"/>
        </w:rPr>
        <w:fldChar w:fldCharType="separate"/>
      </w:r>
      <w:r>
        <w:rPr>
          <w:rFonts w:hint="eastAsia" w:ascii="楷体_GB2312" w:hAnsi="楷体_GB2312" w:eastAsia="楷体_GB2312" w:cs="楷体_GB2312"/>
          <w:bCs/>
          <w:color w:val="auto"/>
          <w:sz w:val="32"/>
          <w:szCs w:val="32"/>
        </w:rPr>
        <w:t>建立特优农业产业体系</w:t>
      </w:r>
      <w:r>
        <w:rPr>
          <w:rFonts w:hint="eastAsia" w:ascii="楷体_GB2312" w:hAnsi="楷体_GB2312" w:eastAsia="楷体_GB2312" w:cs="楷体_GB2312"/>
          <w:bCs/>
          <w:color w:val="auto"/>
          <w:sz w:val="32"/>
          <w:szCs w:val="32"/>
        </w:rPr>
        <w:fldChar w:fldCharType="end"/>
      </w:r>
      <w:bookmarkEnd w:id="75"/>
    </w:p>
    <w:p w14:paraId="658E4908">
      <w:pPr>
        <w:keepNext w:val="0"/>
        <w:keepLines w:val="0"/>
        <w:pageBreakBefore w:val="0"/>
        <w:widowControl w:val="0"/>
        <w:kinsoku/>
        <w:wordWrap/>
        <w:topLinePunct w:val="0"/>
        <w:autoSpaceDE/>
        <w:autoSpaceDN/>
        <w:bidi w:val="0"/>
        <w:spacing w:line="650" w:lineRule="exact"/>
        <w:ind w:left="0" w:leftChars="0" w:firstLine="640" w:firstLineChars="200"/>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 xml:space="preserve"> </w:t>
      </w:r>
    </w:p>
    <w:p w14:paraId="1F77846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农业产业体系是农业现代化发展的基础，其产业体系构成的先进性是农业现代化的重要标志。要以农业供给侧结构性改革为抓手，突出优势主导产业、打造新型业态，延伸产业链、提升价值链、完善组织链，做大做强七大优势基地，全面构建现代农业产业新体系，并以新型产业体系推动生产体系和经营体系建设。</w:t>
      </w:r>
      <w:bookmarkStart w:id="76" w:name="_Toc7157"/>
    </w:p>
    <w:p w14:paraId="64BB85B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一、优质粮食产业集群</w:t>
      </w:r>
      <w:bookmarkEnd w:id="76"/>
    </w:p>
    <w:p w14:paraId="779D291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_GB2312" w:hAnsi="仿宋_GB2312" w:eastAsia="仿宋_GB2312" w:cs="仿宋_GB2312"/>
          <w:color w:val="auto"/>
          <w:sz w:val="32"/>
          <w:szCs w:val="32"/>
        </w:rPr>
        <w:t>深入实施</w:t>
      </w:r>
      <w:r>
        <w:rPr>
          <w:rFonts w:hint="eastAsia" w:ascii="仿宋_GB2312" w:hAnsi="仿宋_GB2312" w:eastAsia="仿宋_GB2312" w:cs="仿宋_GB2312"/>
          <w:color w:val="auto"/>
          <w:sz w:val="32"/>
          <w:szCs w:val="32"/>
          <w:lang w:val="en-US" w:eastAsia="zh-CN"/>
        </w:rPr>
        <w:t>国家粮食安全战略和重要农产品保障战略，落实</w:t>
      </w:r>
      <w:r>
        <w:rPr>
          <w:rFonts w:hint="eastAsia" w:ascii="仿宋_GB2312" w:hAnsi="仿宋_GB2312" w:eastAsia="仿宋_GB2312" w:cs="仿宋_GB2312"/>
          <w:color w:val="auto"/>
          <w:sz w:val="32"/>
          <w:szCs w:val="32"/>
        </w:rPr>
        <w:t>藏粮于地、藏粮于技，</w:t>
      </w:r>
      <w:r>
        <w:rPr>
          <w:rFonts w:hint="eastAsia" w:ascii="仿宋_GB2312" w:hAnsi="仿宋_GB2312" w:eastAsia="仿宋_GB2312" w:cs="仿宋_GB2312"/>
          <w:color w:val="auto"/>
          <w:sz w:val="32"/>
          <w:szCs w:val="32"/>
          <w:lang w:val="en-US" w:eastAsia="zh-CN"/>
        </w:rPr>
        <w:t>落实最严格的耕地保护制度，坚决遏制耕地“非农化”、严格管控“非粮化”，</w:t>
      </w:r>
      <w:r>
        <w:rPr>
          <w:rFonts w:hint="eastAsia" w:ascii="仿宋_GB2312" w:hAnsi="仿宋_GB2312" w:eastAsia="仿宋_GB2312" w:cs="仿宋_GB2312"/>
          <w:color w:val="auto"/>
          <w:sz w:val="32"/>
          <w:szCs w:val="32"/>
        </w:rPr>
        <w:t>稳定粮食种植面积，提高粮食单产，大力发展优质小麦。以黄河、汾河、涑水河流域经济带为重点，加快高标准农田建设，推进黄汾百万亩粮食优质高产高效示范基地建设。</w:t>
      </w:r>
      <w:r>
        <w:rPr>
          <w:rFonts w:hint="eastAsia" w:ascii="仿宋_GB2312" w:hAnsi="仿宋_GB2312" w:eastAsia="仿宋_GB2312" w:cs="仿宋_GB2312"/>
          <w:i w:val="0"/>
          <w:iCs w:val="0"/>
          <w:caps w:val="0"/>
          <w:color w:val="auto"/>
          <w:spacing w:val="0"/>
          <w:sz w:val="32"/>
          <w:szCs w:val="32"/>
          <w:shd w:val="clear" w:fill="auto"/>
        </w:rPr>
        <w:t>推动粮食产业链、价值链、供应链“三链协同”，粮食产购储加销“五优联动”，建设优质粮食工程、示范市</w:t>
      </w:r>
      <w:r>
        <w:rPr>
          <w:rFonts w:hint="eastAsia" w:ascii="仿宋_GB2312" w:hAnsi="仿宋_GB2312" w:eastAsia="仿宋_GB2312" w:cs="仿宋_GB2312"/>
          <w:i w:val="0"/>
          <w:iCs w:val="0"/>
          <w:caps w:val="0"/>
          <w:color w:val="auto"/>
          <w:spacing w:val="0"/>
          <w:sz w:val="32"/>
          <w:szCs w:val="32"/>
          <w:shd w:val="clear"/>
        </w:rPr>
        <w:t>县、特色园区、骨干企业“四大载体”，</w:t>
      </w:r>
      <w:r>
        <w:rPr>
          <w:rFonts w:hint="eastAsia" w:ascii="仿宋_GB2312" w:hAnsi="仿宋_GB2312" w:eastAsia="仿宋_GB2312" w:cs="仿宋_GB2312"/>
          <w:color w:val="auto"/>
          <w:sz w:val="32"/>
          <w:szCs w:val="32"/>
          <w:lang w:eastAsia="zh-CN"/>
        </w:rPr>
        <w:t>建立</w:t>
      </w:r>
      <w:r>
        <w:rPr>
          <w:rFonts w:hint="eastAsia" w:ascii="仿宋_GB2312" w:hAnsi="仿宋_GB2312" w:eastAsia="仿宋_GB2312" w:cs="仿宋_GB2312"/>
          <w:i w:val="0"/>
          <w:iCs w:val="0"/>
          <w:caps w:val="0"/>
          <w:color w:val="auto"/>
          <w:spacing w:val="0"/>
          <w:sz w:val="32"/>
          <w:szCs w:val="32"/>
          <w:shd w:val="clear"/>
          <w:lang w:eastAsia="zh-CN"/>
        </w:rPr>
        <w:t>粮食产业集群。</w:t>
      </w:r>
      <w:r>
        <w:rPr>
          <w:rFonts w:hint="eastAsia" w:ascii="仿宋_GB2312" w:hAnsi="仿宋_GB2312" w:eastAsia="仿宋_GB2312" w:cs="仿宋_GB2312"/>
          <w:color w:val="auto"/>
          <w:sz w:val="32"/>
          <w:szCs w:val="32"/>
        </w:rPr>
        <w:t>到2025年，在全市打造200万亩优质小麦生产基地，全市粮食总产量稳定在2</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亿公斤。</w:t>
      </w:r>
    </w:p>
    <w:p w14:paraId="675DF594">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7B80D6C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1.黄汾百万亩粮食优质高产高效示范基地建设。</w:t>
      </w:r>
      <w:r>
        <w:rPr>
          <w:rFonts w:hint="eastAsia" w:ascii="仿宋_GB2312" w:hAnsi="仿宋_GB2312" w:eastAsia="仿宋_GB2312" w:cs="仿宋_GB2312"/>
          <w:color w:val="auto"/>
          <w:sz w:val="32"/>
          <w:szCs w:val="32"/>
        </w:rPr>
        <w:t>黄汾流域是运城传统的粮食生产集中连片高产区，推进黄汾百万亩粮食优质高产高效示范基地建设，是落实黄河流域高质量发展的战略举措。基地涉及8个县（市）3</w:t>
      </w:r>
      <w:r>
        <w:rPr>
          <w:rFonts w:hint="eastAsia" w:ascii="仿宋_GB2312" w:hAnsi="仿宋_GB2312" w:eastAsia="仿宋_GB2312" w:cs="仿宋_GB2312"/>
          <w:color w:val="auto"/>
          <w:sz w:val="32"/>
          <w:szCs w:val="32"/>
          <w:lang w:val="en-US" w:eastAsia="zh-CN"/>
        </w:rPr>
        <w:t>7</w:t>
      </w:r>
      <w:r>
        <w:rPr>
          <w:rFonts w:hint="eastAsia" w:ascii="仿宋_GB2312" w:hAnsi="仿宋_GB2312" w:eastAsia="仿宋_GB2312" w:cs="仿宋_GB2312"/>
          <w:color w:val="auto"/>
          <w:sz w:val="32"/>
          <w:szCs w:val="32"/>
        </w:rPr>
        <w:t>个乡镇545个行政村</w:t>
      </w:r>
      <w:r>
        <w:rPr>
          <w:rFonts w:hint="eastAsia" w:ascii="仿宋_GB2312" w:hAnsi="仿宋_GB2312" w:eastAsia="仿宋_GB2312" w:cs="仿宋_GB2312"/>
          <w:color w:val="auto"/>
          <w:sz w:val="32"/>
          <w:szCs w:val="32"/>
          <w:lang w:val="en-US" w:eastAsia="zh-CN"/>
        </w:rPr>
        <w:t>（3家农场）</w:t>
      </w:r>
      <w:r>
        <w:rPr>
          <w:rFonts w:hint="eastAsia" w:ascii="仿宋_GB2312" w:hAnsi="仿宋_GB2312" w:eastAsia="仿宋_GB2312" w:cs="仿宋_GB2312"/>
          <w:color w:val="auto"/>
          <w:sz w:val="32"/>
          <w:szCs w:val="32"/>
        </w:rPr>
        <w:t>，总面积10</w:t>
      </w:r>
      <w:r>
        <w:rPr>
          <w:rFonts w:hint="eastAsia" w:ascii="仿宋_GB2312" w:hAnsi="仿宋_GB2312" w:eastAsia="仿宋_GB2312" w:cs="仿宋_GB2312"/>
          <w:color w:val="auto"/>
          <w:sz w:val="32"/>
          <w:szCs w:val="32"/>
          <w:lang w:eastAsia="zh-CN"/>
        </w:rPr>
        <w:t>5</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2</w:t>
      </w:r>
      <w:r>
        <w:rPr>
          <w:rFonts w:hint="eastAsia" w:ascii="仿宋_GB2312" w:hAnsi="仿宋_GB2312" w:eastAsia="仿宋_GB2312" w:cs="仿宋_GB2312"/>
          <w:color w:val="auto"/>
          <w:sz w:val="32"/>
          <w:szCs w:val="32"/>
        </w:rPr>
        <w:t>万亩。到2025年，建成黄河中游品牌农业基地、全流域高质量发展示范区。实现粮食总产10亿公斤，平均亩产达到1000公斤以上，优质专用小麦发展到50万亩以上，成为“运城面粉”优质原粮专供基地。</w:t>
      </w:r>
    </w:p>
    <w:p w14:paraId="70F0B9C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2.盐碱地整治及旱稻、水稻发展工程。</w:t>
      </w:r>
      <w:r>
        <w:rPr>
          <w:rFonts w:hint="eastAsia" w:ascii="仿宋_GB2312" w:hAnsi="仿宋_GB2312" w:eastAsia="仿宋_GB2312" w:cs="仿宋_GB2312"/>
          <w:color w:val="auto"/>
          <w:sz w:val="32"/>
          <w:szCs w:val="32"/>
        </w:rPr>
        <w:t>旱地水稻是近年来发展起来的全新种植方式，具有节约水肥、生育进程快，出米率高、品质好的特点，在运城的平陆、芮城、临猗都已试种成功，取得了良好的效益。规划引进袁隆平团队，在沿黄、沿汾各县</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和盐湖、夏县等盐碱地发展旱稻、水稻</w:t>
      </w:r>
      <w:r>
        <w:rPr>
          <w:rFonts w:hint="eastAsia" w:ascii="仿宋_GB2312" w:hAnsi="仿宋_GB2312" w:eastAsia="仿宋_GB2312" w:cs="仿宋_GB2312"/>
          <w:color w:val="auto"/>
          <w:sz w:val="32"/>
          <w:szCs w:val="32"/>
          <w:lang w:eastAsia="zh-CN"/>
        </w:rPr>
        <w:t>、盐碱地水稻</w:t>
      </w:r>
      <w:r>
        <w:rPr>
          <w:rFonts w:hint="eastAsia" w:ascii="仿宋_GB2312" w:hAnsi="仿宋_GB2312" w:eastAsia="仿宋_GB2312" w:cs="仿宋_GB2312"/>
          <w:color w:val="auto"/>
          <w:sz w:val="32"/>
          <w:szCs w:val="32"/>
        </w:rPr>
        <w:t>。到2025年</w:t>
      </w:r>
      <w:r>
        <w:rPr>
          <w:rFonts w:hint="eastAsia" w:ascii="仿宋_GB2312" w:hAnsi="仿宋_GB2312" w:eastAsia="仿宋_GB2312" w:cs="仿宋_GB2312"/>
          <w:color w:val="auto"/>
          <w:sz w:val="32"/>
          <w:szCs w:val="32"/>
          <w:lang w:eastAsia="zh-CN"/>
        </w:rPr>
        <w:t>全市</w:t>
      </w:r>
      <w:r>
        <w:rPr>
          <w:rFonts w:hint="eastAsia" w:ascii="仿宋_GB2312" w:hAnsi="仿宋_GB2312" w:eastAsia="仿宋_GB2312" w:cs="仿宋_GB2312"/>
          <w:color w:val="auto"/>
          <w:sz w:val="32"/>
          <w:szCs w:val="32"/>
        </w:rPr>
        <w:t>发展旱稻、水稻</w:t>
      </w:r>
      <w:r>
        <w:rPr>
          <w:rFonts w:hint="eastAsia" w:ascii="仿宋_GB2312" w:hAnsi="仿宋_GB2312" w:eastAsia="仿宋_GB2312" w:cs="仿宋_GB2312"/>
          <w:color w:val="auto"/>
          <w:sz w:val="32"/>
          <w:szCs w:val="32"/>
          <w:lang w:eastAsia="zh-CN"/>
        </w:rPr>
        <w:t>、盐碱地水稻</w:t>
      </w:r>
      <w:r>
        <w:rPr>
          <w:rFonts w:hint="eastAsia" w:ascii="仿宋_GB2312" w:hAnsi="仿宋_GB2312" w:eastAsia="仿宋_GB2312" w:cs="仿宋_GB2312"/>
          <w:color w:val="auto"/>
          <w:sz w:val="32"/>
          <w:szCs w:val="32"/>
        </w:rPr>
        <w:t>5万亩，远期发展到10万亩。</w:t>
      </w:r>
    </w:p>
    <w:p w14:paraId="33E27D2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3.高标准农田建设工程。</w:t>
      </w:r>
      <w:r>
        <w:rPr>
          <w:rFonts w:hint="eastAsia" w:ascii="仿宋_GB2312" w:hAnsi="仿宋_GB2312" w:eastAsia="仿宋_GB2312" w:cs="仿宋_GB2312"/>
          <w:color w:val="auto"/>
          <w:sz w:val="32"/>
          <w:szCs w:val="32"/>
        </w:rPr>
        <w:t>积极争取国家和省级财政项目资金，进一步优化布局，优先在永久基本农田和粮食生产功能区及粮食主产区实施高标准农田建设，在符合项目选址条件的前提下，大力支持黄河汾河百万亩粮食优质高产高效示范基地建设。通过工程措施进一步完善提升农田水、电、路等基础设施配套，积极发展有机旱作节水农业，不断提升耕地质量，提高粮食综合生产能力。到2025年，</w:t>
      </w:r>
      <w:r>
        <w:rPr>
          <w:rFonts w:hint="eastAsia" w:ascii="仿宋_GB2312" w:hAnsi="仿宋_GB2312" w:eastAsia="仿宋_GB2312" w:cs="仿宋_GB2312"/>
          <w:color w:val="auto"/>
          <w:sz w:val="32"/>
          <w:szCs w:val="32"/>
          <w:shd w:val="clear"/>
        </w:rPr>
        <w:t>力争新建高标准农田1</w:t>
      </w:r>
      <w:r>
        <w:rPr>
          <w:rFonts w:hint="eastAsia" w:ascii="仿宋_GB2312" w:hAnsi="仿宋_GB2312" w:eastAsia="仿宋_GB2312" w:cs="仿宋_GB2312"/>
          <w:color w:val="auto"/>
          <w:sz w:val="32"/>
          <w:szCs w:val="32"/>
          <w:shd w:val="clear"/>
          <w:lang w:val="en-US" w:eastAsia="zh-CN"/>
        </w:rPr>
        <w:t>2</w:t>
      </w:r>
      <w:r>
        <w:rPr>
          <w:rFonts w:hint="eastAsia" w:ascii="仿宋_GB2312" w:hAnsi="仿宋_GB2312" w:eastAsia="仿宋_GB2312" w:cs="仿宋_GB2312"/>
          <w:color w:val="auto"/>
          <w:sz w:val="32"/>
          <w:szCs w:val="32"/>
          <w:shd w:val="clear"/>
        </w:rPr>
        <w:t>0万亩，</w:t>
      </w:r>
      <w:r>
        <w:rPr>
          <w:rFonts w:hint="eastAsia" w:ascii="仿宋_GB2312" w:hAnsi="仿宋_GB2312" w:eastAsia="仿宋_GB2312" w:cs="仿宋_GB2312"/>
          <w:color w:val="auto"/>
          <w:sz w:val="32"/>
          <w:szCs w:val="32"/>
          <w:shd w:val="clear"/>
          <w:lang w:eastAsia="zh-CN"/>
        </w:rPr>
        <w:t>改造提升</w:t>
      </w:r>
      <w:r>
        <w:rPr>
          <w:rFonts w:hint="eastAsia" w:ascii="仿宋_GB2312" w:hAnsi="仿宋_GB2312" w:eastAsia="仿宋_GB2312" w:cs="仿宋_GB2312"/>
          <w:color w:val="auto"/>
          <w:sz w:val="32"/>
          <w:szCs w:val="32"/>
          <w:shd w:val="clear"/>
          <w:lang w:val="en-US" w:eastAsia="zh-CN"/>
        </w:rPr>
        <w:t>40万亩</w:t>
      </w:r>
      <w:r>
        <w:rPr>
          <w:rFonts w:hint="eastAsia" w:ascii="仿宋_GB2312" w:hAnsi="仿宋_GB2312" w:eastAsia="仿宋_GB2312" w:cs="仿宋_GB2312"/>
          <w:color w:val="auto"/>
          <w:sz w:val="32"/>
          <w:szCs w:val="32"/>
        </w:rPr>
        <w:t>，为保障全市粮食总产量稳定在2</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亿公斤提供有力支撑。</w:t>
      </w:r>
      <w:bookmarkStart w:id="77" w:name="_Toc21923"/>
    </w:p>
    <w:p w14:paraId="2DA1447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二、果品产业集群</w:t>
      </w:r>
      <w:bookmarkEnd w:id="77"/>
    </w:p>
    <w:p w14:paraId="69492C5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依托省级“三大战略”的山西（运城）农产品出口平台建设，打造峨嵋岭、中条山优质水果产业示范带，进一步优化区域布局、调优品种结构、打通营销渠道，发展具有特色优势的苹果、梨、樱桃为重点，葡萄、桃、山楂、石榴、核桃等干鲜果为支撑的全系列果品产业体系；以山西（运城）农产品出口平台建设为抓手，园区建设为基础，提质节本增效为主攻，建设全国特色优质果品生产基地、国家级苹果区域性良种繁育基地、黄河流域果品出口基地和北方果品贮藏交易中心。到2025年，全市果园标准化生产率达到80%以上，优果率达到75%以上，果品年出口量达到40万吨以上。</w:t>
      </w:r>
    </w:p>
    <w:p w14:paraId="0DA28D32">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246F4AD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1.果园提质增效工程。</w:t>
      </w:r>
      <w:r>
        <w:rPr>
          <w:rFonts w:hint="eastAsia" w:ascii="仿宋_GB2312" w:hAnsi="仿宋_GB2312" w:eastAsia="仿宋_GB2312" w:cs="仿宋_GB2312"/>
          <w:color w:val="auto"/>
          <w:sz w:val="32"/>
          <w:szCs w:val="32"/>
        </w:rPr>
        <w:t>重点推广现代苹果矮砧集约栽培技术模式和老果园改造提升栽培技术模式。按照“三改三减”（改品种、改树形、改土壤；减密度、减化肥、减农药）的技术要求，加快推广品种更新、果园间伐、土壤改良等技术，提升果品质量和果园效益。到2025年，建成一大批现代化苹果矮砧集约标准化示范园区和老果园改造提升示范园区，基本实现果业现代化。</w:t>
      </w:r>
    </w:p>
    <w:p w14:paraId="37CAF2D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2.全产业链培训工程。一是生产技术培训。</w:t>
      </w:r>
      <w:r>
        <w:rPr>
          <w:rFonts w:hint="eastAsia" w:ascii="仿宋_GB2312" w:hAnsi="仿宋_GB2312" w:eastAsia="仿宋_GB2312" w:cs="仿宋_GB2312"/>
          <w:color w:val="auto"/>
          <w:sz w:val="32"/>
          <w:szCs w:val="32"/>
        </w:rPr>
        <w:t>“十四五”期间，每年邀请国内外果树知名专家对全市果业技术骨干、示范园主和农民土专家进行系统培训一次，每年100名。同时在主产区开展“面对面”果农技术培训。每年组织技术骨干和土专家开展“百人千场十万人次”技术大培训，培训果农技术员10万名。二是贸易营销培训。加强果品经纪人队伍的培育；组织贮藏、营销、出口企业围绕农产品质量检测、采后贮藏管理、农产品出口报关等方面进行培训。组织电商企业、网红开展电子销售、直播带货培训。每年培训各类营销人才200名。三是合作交流培训。加强与科研院所对接，深度推动产学研用合作，支持黄河金三角果业发展协会积极开展技术培训和合作交流。</w:t>
      </w:r>
    </w:p>
    <w:p w14:paraId="6E099EB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3.新型经营主体壮大工程。</w:t>
      </w:r>
      <w:r>
        <w:rPr>
          <w:rFonts w:hint="eastAsia" w:ascii="仿宋_GB2312" w:hAnsi="仿宋_GB2312" w:eastAsia="仿宋_GB2312" w:cs="仿宋_GB2312"/>
          <w:color w:val="auto"/>
          <w:sz w:val="32"/>
          <w:szCs w:val="32"/>
        </w:rPr>
        <w:t>大力培育种植大户、家庭农场、果业合作社等新型经营主体，构建“龙头企业+基地+农户”“龙头企业+合作社+基地+农户”“合作社+基地+农户”等多种合作模式的果业产业化联合体。加大政策扶持力度，引导企业转变观念，通过多种形式全面提升大型果品营销企业的综合实力。加快发展果业社会化服务，探索开展果园托管、半托管等服务方式，使其既能适应一家一户小规模生产，又能适应规模化经营，推动公益性服务体系与社会化服务组织有机衔接。加快推动家庭经营、集体经营、合作经营、企业经营等共同发展，实现小农户和大市场的有效衔接，加快形成集约化、专业化、组织化、社会化相结合的现代农业经营体系。</w:t>
      </w:r>
    </w:p>
    <w:p w14:paraId="4D19F02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bookmarkStart w:id="78" w:name="_Toc9868"/>
      <w:r>
        <w:rPr>
          <w:rFonts w:hint="eastAsia" w:ascii="黑体" w:hAnsi="黑体" w:eastAsia="黑体" w:cs="方正楷体_GBK"/>
          <w:bCs/>
          <w:color w:val="auto"/>
          <w:sz w:val="32"/>
          <w:szCs w:val="32"/>
        </w:rPr>
        <w:t>三、蔬菜产业集群</w:t>
      </w:r>
      <w:bookmarkEnd w:id="78"/>
    </w:p>
    <w:p w14:paraId="3279605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按照露地提质、拱棚做优、温室做精的思路做优蔬菜产业。突出特色、优质、精品，重点加强育苗基地建设、设施蔬菜建设和</w:t>
      </w:r>
      <w:r>
        <w:rPr>
          <w:rFonts w:hint="eastAsia" w:ascii="仿宋_GB2312" w:hAnsi="仿宋_GB2312" w:eastAsia="仿宋_GB2312" w:cs="仿宋_GB2312"/>
          <w:color w:val="auto"/>
          <w:sz w:val="32"/>
          <w:szCs w:val="32"/>
          <w:lang w:eastAsia="zh-CN"/>
        </w:rPr>
        <w:t>以</w:t>
      </w:r>
      <w:r>
        <w:rPr>
          <w:rFonts w:hint="eastAsia" w:ascii="仿宋_GB2312" w:hAnsi="仿宋_GB2312" w:eastAsia="仿宋_GB2312" w:cs="仿宋_GB2312"/>
          <w:color w:val="auto"/>
          <w:sz w:val="32"/>
          <w:szCs w:val="32"/>
        </w:rPr>
        <w:t>南菜北种</w:t>
      </w:r>
      <w:r>
        <w:rPr>
          <w:rFonts w:hint="eastAsia" w:ascii="仿宋_GB2312" w:hAnsi="仿宋_GB2312" w:eastAsia="仿宋_GB2312" w:cs="仿宋_GB2312"/>
          <w:color w:val="auto"/>
          <w:sz w:val="32"/>
          <w:szCs w:val="32"/>
          <w:lang w:eastAsia="zh-CN"/>
        </w:rPr>
        <w:t>为重点的特色露地蔬菜</w:t>
      </w:r>
      <w:r>
        <w:rPr>
          <w:rFonts w:hint="eastAsia" w:ascii="仿宋_GB2312" w:hAnsi="仿宋_GB2312" w:eastAsia="仿宋_GB2312" w:cs="仿宋_GB2312"/>
          <w:color w:val="auto"/>
          <w:sz w:val="32"/>
          <w:szCs w:val="32"/>
        </w:rPr>
        <w:t>基地建设。扩大绿色、有机蔬菜生产规模和产品认证，加大蔬菜出口和深加工，完善蔬菜质量安全追溯体系。</w:t>
      </w:r>
      <w:r>
        <w:rPr>
          <w:rFonts w:hint="eastAsia" w:ascii="仿宋_GB2312" w:hAnsi="仿宋_GB2312" w:eastAsia="仿宋_GB2312" w:cs="仿宋_GB2312"/>
          <w:color w:val="auto"/>
          <w:sz w:val="32"/>
          <w:szCs w:val="32"/>
          <w:lang w:eastAsia="zh-CN"/>
        </w:rPr>
        <w:t>到</w:t>
      </w:r>
      <w:r>
        <w:rPr>
          <w:rFonts w:hint="eastAsia" w:ascii="仿宋_GB2312" w:hAnsi="仿宋_GB2312" w:eastAsia="仿宋_GB2312" w:cs="仿宋_GB2312"/>
          <w:color w:val="auto"/>
          <w:sz w:val="32"/>
          <w:szCs w:val="32"/>
          <w:lang w:val="en-US" w:eastAsia="zh-CN"/>
        </w:rPr>
        <w:t>2025年，改造老旧棚室3万亩，新建设施大棚1万亩，开发特色露地蔬菜基地5万亩，创建标准园30个，全市蔬菜播种面积达到80万亩。</w:t>
      </w:r>
    </w:p>
    <w:p w14:paraId="32808767">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53AD78E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79" w:name="_Toc24989"/>
      <w:bookmarkEnd w:id="79"/>
      <w:r>
        <w:rPr>
          <w:rFonts w:hint="eastAsia" w:ascii="楷体_GB2312" w:hAnsi="楷体_GB2312" w:eastAsia="楷体_GB2312" w:cs="楷体_GB2312"/>
          <w:color w:val="auto"/>
          <w:sz w:val="32"/>
          <w:szCs w:val="32"/>
        </w:rPr>
        <w:t>1.设施蔬菜建设和改造工程。</w:t>
      </w:r>
      <w:r>
        <w:rPr>
          <w:rFonts w:hint="eastAsia" w:ascii="仿宋_GB2312" w:hAnsi="仿宋_GB2312" w:eastAsia="仿宋_GB2312" w:cs="仿宋_GB2312"/>
          <w:color w:val="auto"/>
          <w:sz w:val="32"/>
          <w:szCs w:val="32"/>
        </w:rPr>
        <w:t>按照新生产、新消费和“双循环”的发展要求，重点在新绛、夏县、闻喜、盐湖、永济等县（市、区）推进设施蔬菜区域化标准化建设，采用新型节能温室技术，新建和改建一批大棚设施，提升设施蔬菜高质量发展能力。到2025年，完成</w:t>
      </w:r>
      <w:r>
        <w:rPr>
          <w:rFonts w:hint="eastAsia" w:ascii="仿宋_GB2312" w:hAnsi="仿宋_GB2312" w:eastAsia="仿宋_GB2312" w:cs="仿宋_GB2312"/>
          <w:color w:val="auto"/>
          <w:sz w:val="32"/>
          <w:szCs w:val="32"/>
          <w:lang w:eastAsia="zh-CN"/>
        </w:rPr>
        <w:t>老旧棚室改造</w:t>
      </w:r>
      <w:r>
        <w:rPr>
          <w:rFonts w:hint="eastAsia" w:ascii="仿宋_GB2312" w:hAnsi="仿宋_GB2312" w:eastAsia="仿宋_GB2312" w:cs="仿宋_GB2312"/>
          <w:color w:val="auto"/>
          <w:sz w:val="32"/>
          <w:szCs w:val="32"/>
          <w:u w:val="none"/>
          <w:lang w:val="en-US" w:eastAsia="zh-CN"/>
        </w:rPr>
        <w:t>3万亩</w:t>
      </w:r>
      <w:r>
        <w:rPr>
          <w:rFonts w:hint="eastAsia" w:ascii="仿宋_GB2312" w:hAnsi="仿宋_GB2312" w:eastAsia="仿宋_GB2312" w:cs="仿宋_GB2312"/>
          <w:color w:val="auto"/>
          <w:sz w:val="32"/>
          <w:szCs w:val="32"/>
        </w:rPr>
        <w:t>，新建</w:t>
      </w:r>
      <w:r>
        <w:rPr>
          <w:rFonts w:hint="eastAsia" w:ascii="仿宋_GB2312" w:hAnsi="仿宋_GB2312" w:eastAsia="仿宋_GB2312" w:cs="仿宋_GB2312"/>
          <w:color w:val="auto"/>
          <w:sz w:val="32"/>
          <w:szCs w:val="32"/>
          <w:lang w:eastAsia="zh-CN"/>
        </w:rPr>
        <w:t>设施大棚</w:t>
      </w:r>
      <w:r>
        <w:rPr>
          <w:rFonts w:hint="eastAsia" w:ascii="仿宋_GB2312" w:hAnsi="仿宋_GB2312" w:eastAsia="仿宋_GB2312" w:cs="仿宋_GB2312"/>
          <w:color w:val="auto"/>
          <w:sz w:val="32"/>
          <w:szCs w:val="32"/>
        </w:rPr>
        <w:t>1万亩，设施蔬菜</w:t>
      </w:r>
      <w:r>
        <w:rPr>
          <w:rFonts w:hint="eastAsia" w:ascii="仿宋_GB2312" w:hAnsi="仿宋_GB2312" w:eastAsia="仿宋_GB2312" w:cs="仿宋_GB2312"/>
          <w:color w:val="auto"/>
          <w:sz w:val="32"/>
          <w:szCs w:val="32"/>
          <w:lang w:eastAsia="zh-CN"/>
        </w:rPr>
        <w:t>播种</w:t>
      </w:r>
      <w:r>
        <w:rPr>
          <w:rFonts w:hint="eastAsia" w:ascii="仿宋_GB2312" w:hAnsi="仿宋_GB2312" w:eastAsia="仿宋_GB2312" w:cs="仿宋_GB2312"/>
          <w:color w:val="auto"/>
          <w:sz w:val="32"/>
          <w:szCs w:val="32"/>
        </w:rPr>
        <w:t>面积达到25万亩，产量达到95万吨。</w:t>
      </w:r>
    </w:p>
    <w:p w14:paraId="5D0C0B8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80" w:name="_Toc29052"/>
      <w:bookmarkEnd w:id="80"/>
      <w:r>
        <w:rPr>
          <w:rFonts w:hint="eastAsia" w:ascii="楷体_GB2312" w:hAnsi="楷体_GB2312" w:eastAsia="楷体_GB2312" w:cs="楷体_GB2312"/>
          <w:color w:val="auto"/>
          <w:sz w:val="32"/>
          <w:szCs w:val="32"/>
        </w:rPr>
        <w:t>2.设施蔬菜机械化提档工程。</w:t>
      </w:r>
      <w:r>
        <w:rPr>
          <w:rFonts w:hint="eastAsia" w:ascii="仿宋_GB2312" w:hAnsi="仿宋_GB2312" w:eastAsia="仿宋_GB2312" w:cs="仿宋_GB2312"/>
          <w:color w:val="auto"/>
          <w:sz w:val="32"/>
          <w:szCs w:val="32"/>
        </w:rPr>
        <w:t>推进落实农业农村部《关于加快推进设施种植机械化发展的意见》，推广普及设施蔬菜耕整、直播（移栽）、灌溉施肥、采摘运输、环境调控等技术装备，推动设施农业机械化装备转型升级，以机械化、智能化推进设施农业的现代化。到2025年，培育设施农业机械化示范区2个，全市设施种植机械化总体水平达到50%以上，土地产出率和劳动生产率迈上新台阶。</w:t>
      </w:r>
    </w:p>
    <w:p w14:paraId="67A52DA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81" w:name="_Toc23144"/>
      <w:bookmarkEnd w:id="81"/>
      <w:r>
        <w:rPr>
          <w:rFonts w:hint="eastAsia" w:ascii="楷体_GB2312" w:hAnsi="楷体_GB2312" w:eastAsia="楷体_GB2312" w:cs="楷体_GB2312"/>
          <w:color w:val="auto"/>
          <w:sz w:val="32"/>
          <w:szCs w:val="32"/>
        </w:rPr>
        <w:t>3.促进种苗产业发展行动。</w:t>
      </w:r>
      <w:r>
        <w:rPr>
          <w:rFonts w:hint="eastAsia" w:ascii="仿宋_GB2312" w:hAnsi="仿宋_GB2312" w:eastAsia="仿宋_GB2312" w:cs="仿宋_GB2312"/>
          <w:color w:val="auto"/>
          <w:sz w:val="32"/>
          <w:szCs w:val="32"/>
        </w:rPr>
        <w:t>采取联动拱棚和联动智能温室，发展标准化的育苗产业，组建分工明确的设施蔬菜专用品种选育团队，加强设施蔬菜专用品种资源的挖掘和材料创制，在抗病、抗逆（耐低温弱光、耐高温强光、耐盐耐旱等）、丰产、优质方面取得突破，促进现代设施蔬菜种业发展；在万亩设施蔬菜产业集群优势区的夏县、新绛、盐湖等，扶持</w:t>
      </w:r>
      <w:r>
        <w:rPr>
          <w:rFonts w:hint="eastAsia" w:ascii="仿宋_GB2312" w:hAnsi="仿宋_GB2312" w:eastAsia="仿宋_GB2312" w:cs="仿宋_GB2312"/>
          <w:color w:val="auto"/>
          <w:sz w:val="32"/>
          <w:szCs w:val="32"/>
          <w:lang w:eastAsia="zh-CN"/>
        </w:rPr>
        <w:t>新建</w:t>
      </w:r>
      <w:r>
        <w:rPr>
          <w:rFonts w:hint="eastAsia" w:ascii="仿宋_GB2312" w:hAnsi="仿宋_GB2312" w:eastAsia="仿宋_GB2312" w:cs="仿宋_GB2312"/>
          <w:color w:val="auto"/>
          <w:sz w:val="32"/>
          <w:szCs w:val="32"/>
          <w:lang w:val="en-US" w:eastAsia="zh-CN"/>
        </w:rPr>
        <w:t>10个育苗中心，新增育苗面积30000平米。</w:t>
      </w:r>
      <w:r>
        <w:rPr>
          <w:rFonts w:hint="eastAsia" w:ascii="仿宋_GB2312" w:hAnsi="仿宋_GB2312" w:eastAsia="仿宋_GB2312" w:cs="仿宋_GB2312"/>
          <w:color w:val="auto"/>
          <w:sz w:val="32"/>
          <w:szCs w:val="32"/>
        </w:rPr>
        <w:t>在其他蔬菜主产区，支持建设一批蔬菜集约化育苗场，全面提升蔬菜的竞争力。</w:t>
      </w:r>
    </w:p>
    <w:p w14:paraId="466A170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82" w:name="_Toc7854"/>
      <w:bookmarkEnd w:id="82"/>
      <w:r>
        <w:rPr>
          <w:rFonts w:hint="eastAsia" w:ascii="楷体_GB2312" w:hAnsi="楷体_GB2312" w:eastAsia="楷体_GB2312" w:cs="楷体_GB2312"/>
          <w:color w:val="auto"/>
          <w:sz w:val="32"/>
          <w:szCs w:val="32"/>
        </w:rPr>
        <w:t>4.蔬菜产业物联网建设工程。</w:t>
      </w:r>
      <w:r>
        <w:rPr>
          <w:rFonts w:hint="eastAsia" w:ascii="仿宋_GB2312" w:hAnsi="仿宋_GB2312" w:eastAsia="仿宋_GB2312" w:cs="仿宋_GB2312"/>
          <w:color w:val="auto"/>
          <w:sz w:val="32"/>
          <w:szCs w:val="32"/>
        </w:rPr>
        <w:t>大力支持蔬菜产业的物联网建设，农业物联网是将设施农业的实时监测功能、远程控制功能、信息查询功能、营销服务功能和产品追溯功能融为一体进行自动化、智能化管理的管理系统。率先在全省重点蔬菜生产区的新绛、夏县、盐湖等条件较好的、规模化的示范园进行农业物联网建设，形成示范、带动全市。</w:t>
      </w:r>
      <w:bookmarkStart w:id="83" w:name="sub4088538_5_4"/>
      <w:bookmarkEnd w:id="83"/>
      <w:bookmarkStart w:id="84" w:name="5_4"/>
      <w:bookmarkEnd w:id="84"/>
      <w:bookmarkStart w:id="85" w:name="警告功能"/>
      <w:bookmarkEnd w:id="85"/>
      <w:bookmarkStart w:id="86" w:name="5-4"/>
      <w:bookmarkEnd w:id="86"/>
      <w:bookmarkStart w:id="87" w:name="_Toc20583"/>
    </w:p>
    <w:p w14:paraId="2D3FD33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四、畜牧水产养殖业集群</w:t>
      </w:r>
      <w:bookmarkEnd w:id="87"/>
    </w:p>
    <w:p w14:paraId="18D0D1C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主打“生态+循环+健康”，以企业化、园区化、标准化和产业化发展现代畜牧水产养殖业。增猪、稳鸡、发展牛羊</w:t>
      </w:r>
      <w:r>
        <w:rPr>
          <w:rFonts w:hint="eastAsia" w:ascii="仿宋_GB2312" w:hAnsi="仿宋_GB2312" w:eastAsia="仿宋_GB2312" w:cs="仿宋_GB2312"/>
          <w:color w:val="auto"/>
          <w:sz w:val="32"/>
          <w:szCs w:val="32"/>
          <w:lang w:eastAsia="zh-CN"/>
        </w:rPr>
        <w:t>等草食畜</w:t>
      </w:r>
      <w:r>
        <w:rPr>
          <w:rFonts w:hint="eastAsia" w:ascii="仿宋_GB2312" w:hAnsi="仿宋_GB2312" w:eastAsia="仿宋_GB2312" w:cs="仿宋_GB2312"/>
          <w:color w:val="auto"/>
          <w:sz w:val="32"/>
          <w:szCs w:val="32"/>
        </w:rPr>
        <w:t>，建设猪鸡牛</w:t>
      </w:r>
      <w:r>
        <w:rPr>
          <w:rFonts w:hint="eastAsia" w:ascii="仿宋_GB2312" w:hAnsi="仿宋_GB2312" w:eastAsia="仿宋_GB2312" w:cs="仿宋_GB2312"/>
          <w:color w:val="auto"/>
          <w:sz w:val="32"/>
          <w:szCs w:val="32"/>
          <w:lang w:eastAsia="zh-CN"/>
        </w:rPr>
        <w:t>羊</w:t>
      </w:r>
      <w:r>
        <w:rPr>
          <w:rFonts w:hint="eastAsia" w:ascii="仿宋_GB2312" w:hAnsi="仿宋_GB2312" w:eastAsia="仿宋_GB2312" w:cs="仿宋_GB2312"/>
          <w:color w:val="auto"/>
          <w:sz w:val="32"/>
          <w:szCs w:val="32"/>
        </w:rPr>
        <w:t>等畜禽良种繁育体系，推进标准化规模养殖，推进畜产品精深加工，打造全省和黄河金三角健康畜禽产品供应基地。发挥运城水产全省排头兵的地位，全面做好龙门鲤、河东鲈、黄河大闸蟹等品牌基地建设，积极推广鱼菜共生、莲鳅共生养殖模式，建设水产苗种产业园、数字化水产品养殖示范园，创建“运城水产”区域共用品牌。到2025年，建设标准化大型育种场或良种繁育示范场50个，畜禽标准化养殖示范场100个，畜禽标模养殖比重达到</w:t>
      </w:r>
      <w:r>
        <w:rPr>
          <w:rFonts w:hint="eastAsia" w:ascii="仿宋_GB2312" w:hAnsi="仿宋_GB2312" w:eastAsia="仿宋_GB2312" w:cs="仿宋_GB2312"/>
          <w:color w:val="auto"/>
          <w:sz w:val="32"/>
          <w:szCs w:val="32"/>
          <w:lang w:val="en-US" w:eastAsia="zh-CN"/>
        </w:rPr>
        <w:t>65</w:t>
      </w:r>
      <w:r>
        <w:rPr>
          <w:rFonts w:hint="eastAsia" w:ascii="仿宋_GB2312" w:hAnsi="仿宋_GB2312" w:eastAsia="仿宋_GB2312" w:cs="仿宋_GB2312"/>
          <w:color w:val="auto"/>
          <w:sz w:val="32"/>
          <w:szCs w:val="32"/>
        </w:rPr>
        <w:t>%，畜禽粪污综合利用率达9</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%以上，在全省率先实现畜牧水产养殖现代化。</w:t>
      </w:r>
    </w:p>
    <w:p w14:paraId="6FC025F5">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bookmarkStart w:id="88" w:name="_Toc21764"/>
      <w:bookmarkEnd w:id="88"/>
      <w:r>
        <w:rPr>
          <w:rFonts w:hint="eastAsia" w:ascii="仿宋_GB2312" w:hAnsi="仿宋_GB2312" w:eastAsia="仿宋_GB2312" w:cs="仿宋_GB2312"/>
          <w:b/>
          <w:color w:val="auto"/>
          <w:sz w:val="32"/>
          <w:szCs w:val="32"/>
        </w:rPr>
        <w:t>重点工程：</w:t>
      </w:r>
    </w:p>
    <w:p w14:paraId="5E87D6A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1.开展畜牧水产高质量建设行动。</w:t>
      </w:r>
      <w:r>
        <w:rPr>
          <w:rFonts w:hint="eastAsia" w:ascii="仿宋_GB2312" w:hAnsi="仿宋_GB2312" w:eastAsia="仿宋_GB2312" w:cs="仿宋_GB2312"/>
          <w:color w:val="auto"/>
          <w:sz w:val="32"/>
          <w:szCs w:val="32"/>
        </w:rPr>
        <w:t>构建设施畜禽养殖、疫病防控、加工流通、绿色循环、安全保障、经营服务体系，大力推进规模化、标准化、机械化、智能化生产，加快“互联网+畜牧业”发展，走出一条产出高效、产品安全、资源节约、环境友好、调控有效的畜牧业发展新路。在河津、万荣、芮城、平陆、垣曲等县（市）大力发展牛羊养殖，在芮城、闻喜、永济、临猗、万荣、盐湖、新绛等县（市、区）大力发展生猪养殖，在稷山、新绛、河津、万荣等县（市）大力发展蛋鸡养殖。在沿黄滩涂、水库湖泊发展水产养殖，大力发展龙门鲤、河东鲈、黄河大闸蟹等具有市场影响力的产品。把我市打造成全国特色优质畜产品供应基地和现代生态水产养殖示范样板。</w:t>
      </w:r>
    </w:p>
    <w:p w14:paraId="21EC514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Times New Roman" w:hAnsi="Times New Roman" w:eastAsia="仿宋_GB2312" w:cs="仿宋_GB2312"/>
          <w:color w:val="auto"/>
          <w:sz w:val="32"/>
          <w:szCs w:val="32"/>
        </w:rPr>
      </w:pPr>
      <w:r>
        <w:rPr>
          <w:rFonts w:hint="eastAsia" w:ascii="楷体_GB2312" w:hAnsi="楷体_GB2312" w:eastAsia="楷体_GB2312" w:cs="楷体_GB2312"/>
          <w:color w:val="auto"/>
          <w:sz w:val="32"/>
          <w:szCs w:val="32"/>
        </w:rPr>
        <w:t>2.畜禽水产品种改良工程。</w:t>
      </w:r>
      <w:r>
        <w:rPr>
          <w:rFonts w:hint="eastAsia" w:ascii="仿宋_GB2312" w:hAnsi="仿宋_GB2312" w:eastAsia="仿宋_GB2312" w:cs="仿宋_GB2312"/>
          <w:color w:val="auto"/>
          <w:sz w:val="32"/>
          <w:szCs w:val="32"/>
        </w:rPr>
        <w:t>充分挖掘和利用现有畜禽品种优势和特色遗传资源，筛选培育高产、优质、抗病的优势品种。重点抓好</w:t>
      </w:r>
      <w:r>
        <w:rPr>
          <w:rFonts w:hint="eastAsia" w:ascii="仿宋_GB2312" w:hAnsi="仿宋_GB2312" w:eastAsia="仿宋_GB2312" w:cs="仿宋_GB2312"/>
          <w:color w:val="auto"/>
          <w:sz w:val="32"/>
          <w:szCs w:val="32"/>
          <w:lang w:eastAsia="zh-CN"/>
        </w:rPr>
        <w:t>原种场和二级</w:t>
      </w:r>
      <w:r>
        <w:rPr>
          <w:rFonts w:hint="eastAsia" w:ascii="仿宋_GB2312" w:hAnsi="仿宋_GB2312" w:eastAsia="仿宋_GB2312" w:cs="仿宋_GB2312"/>
          <w:color w:val="auto"/>
          <w:sz w:val="32"/>
          <w:szCs w:val="32"/>
        </w:rPr>
        <w:t>扩繁场建设，采取“引进、繁育、改良”相结合，加大</w:t>
      </w:r>
      <w:r>
        <w:rPr>
          <w:rFonts w:hint="eastAsia" w:ascii="仿宋_GB2312" w:hAnsi="仿宋_GB2312" w:eastAsia="仿宋_GB2312" w:cs="仿宋_GB2312"/>
          <w:color w:val="auto"/>
          <w:sz w:val="32"/>
          <w:szCs w:val="32"/>
          <w:lang w:eastAsia="zh-CN"/>
        </w:rPr>
        <w:t>良</w:t>
      </w:r>
      <w:r>
        <w:rPr>
          <w:rFonts w:hint="eastAsia" w:ascii="仿宋_GB2312" w:hAnsi="仿宋_GB2312" w:eastAsia="仿宋_GB2312" w:cs="仿宋_GB2312"/>
          <w:color w:val="auto"/>
          <w:sz w:val="32"/>
          <w:szCs w:val="32"/>
        </w:rPr>
        <w:t>种的引进</w:t>
      </w:r>
      <w:r>
        <w:rPr>
          <w:rFonts w:hint="eastAsia" w:ascii="仿宋_GB2312" w:hAnsi="仿宋_GB2312" w:eastAsia="仿宋_GB2312" w:cs="仿宋_GB2312"/>
          <w:color w:val="auto"/>
          <w:sz w:val="32"/>
          <w:szCs w:val="32"/>
          <w:lang w:eastAsia="zh-CN"/>
        </w:rPr>
        <w:t>、培育、</w:t>
      </w:r>
      <w:r>
        <w:rPr>
          <w:rFonts w:hint="eastAsia" w:ascii="仿宋_GB2312" w:hAnsi="仿宋_GB2312" w:eastAsia="仿宋_GB2312" w:cs="仿宋_GB2312"/>
          <w:color w:val="auto"/>
          <w:sz w:val="32"/>
          <w:szCs w:val="32"/>
        </w:rPr>
        <w:t>推广，形成以</w:t>
      </w:r>
      <w:r>
        <w:rPr>
          <w:rFonts w:hint="eastAsia" w:ascii="仿宋_GB2312" w:hAnsi="仿宋_GB2312" w:eastAsia="仿宋_GB2312" w:cs="仿宋_GB2312"/>
          <w:color w:val="auto"/>
          <w:sz w:val="32"/>
          <w:szCs w:val="32"/>
          <w:lang w:eastAsia="zh-CN"/>
        </w:rPr>
        <w:t>原种</w:t>
      </w:r>
      <w:r>
        <w:rPr>
          <w:rFonts w:hint="eastAsia" w:ascii="仿宋_GB2312" w:hAnsi="仿宋_GB2312" w:eastAsia="仿宋_GB2312" w:cs="仿宋_GB2312"/>
          <w:color w:val="auto"/>
          <w:sz w:val="32"/>
          <w:szCs w:val="32"/>
        </w:rPr>
        <w:t>场为依托，</w:t>
      </w:r>
      <w:r>
        <w:rPr>
          <w:rFonts w:hint="eastAsia" w:ascii="仿宋_GB2312" w:hAnsi="仿宋_GB2312" w:eastAsia="仿宋_GB2312" w:cs="仿宋_GB2312"/>
          <w:color w:val="auto"/>
          <w:sz w:val="32"/>
          <w:szCs w:val="32"/>
          <w:lang w:eastAsia="zh-CN"/>
        </w:rPr>
        <w:t>二级</w:t>
      </w:r>
      <w:r>
        <w:rPr>
          <w:rFonts w:hint="eastAsia" w:ascii="仿宋_GB2312" w:hAnsi="仿宋_GB2312" w:eastAsia="仿宋_GB2312" w:cs="仿宋_GB2312"/>
          <w:color w:val="auto"/>
          <w:sz w:val="32"/>
          <w:szCs w:val="32"/>
        </w:rPr>
        <w:t>扩繁场为载体的现代畜禽良种繁育体系。加大对晋南牛繁推工作的支持力度，用好“高品质牛肉生产推介品种”和“最具特色奖”金字招牌，引</w:t>
      </w:r>
      <w:r>
        <w:rPr>
          <w:rFonts w:hint="eastAsia" w:ascii="Times New Roman" w:hAnsi="Times New Roman" w:eastAsia="仿宋_GB2312" w:cs="仿宋_GB2312"/>
          <w:color w:val="auto"/>
          <w:sz w:val="32"/>
          <w:szCs w:val="32"/>
        </w:rPr>
        <w:t>导</w:t>
      </w:r>
      <w:r>
        <w:rPr>
          <w:rFonts w:hint="eastAsia" w:ascii="仿宋_GB2312" w:hAnsi="仿宋_GB2312" w:eastAsia="仿宋_GB2312" w:cs="仿宋_GB2312"/>
          <w:color w:val="auto"/>
          <w:sz w:val="32"/>
          <w:szCs w:val="32"/>
        </w:rPr>
        <w:t>社会力量参与晋南牛保种和开发利用工作，打造地域特色肉牛品牌，到2025年，晋南</w:t>
      </w:r>
      <w:r>
        <w:rPr>
          <w:rFonts w:hint="eastAsia" w:ascii="Times New Roman" w:hAnsi="Times New Roman" w:eastAsia="仿宋_GB2312" w:cs="仿宋_GB2312"/>
          <w:color w:val="auto"/>
          <w:sz w:val="32"/>
          <w:szCs w:val="32"/>
        </w:rPr>
        <w:t>牛存栏</w:t>
      </w:r>
      <w:r>
        <w:rPr>
          <w:rFonts w:hint="eastAsia" w:ascii="Times New Roman" w:hAnsi="Times New Roman" w:eastAsia="仿宋_GB2312" w:cs="仿宋_GB2312"/>
          <w:color w:val="auto"/>
          <w:sz w:val="32"/>
          <w:szCs w:val="32"/>
          <w:lang w:eastAsia="zh-CN"/>
        </w:rPr>
        <w:t>达到</w:t>
      </w:r>
      <w:r>
        <w:rPr>
          <w:rFonts w:hint="eastAsia" w:ascii="仿宋_GB2312" w:hAnsi="仿宋_GB2312" w:eastAsia="仿宋_GB2312" w:cs="仿宋_GB2312"/>
          <w:color w:val="auto"/>
          <w:sz w:val="32"/>
          <w:szCs w:val="32"/>
        </w:rPr>
        <w:t>3</w:t>
      </w:r>
      <w:r>
        <w:rPr>
          <w:rFonts w:hint="eastAsia" w:ascii="Times New Roman" w:hAnsi="Times New Roman" w:eastAsia="仿宋_GB2312" w:cs="仿宋_GB2312"/>
          <w:color w:val="auto"/>
          <w:sz w:val="32"/>
          <w:szCs w:val="32"/>
        </w:rPr>
        <w:t>万头。</w:t>
      </w:r>
    </w:p>
    <w:p w14:paraId="464652F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89" w:name="_Toc29882"/>
      <w:bookmarkEnd w:id="89"/>
      <w:r>
        <w:rPr>
          <w:rFonts w:hint="eastAsia" w:ascii="楷体_GB2312" w:hAnsi="楷体_GB2312" w:eastAsia="楷体_GB2312" w:cs="楷体_GB2312"/>
          <w:color w:val="auto"/>
          <w:sz w:val="32"/>
          <w:szCs w:val="32"/>
        </w:rPr>
        <w:t>3.生态养殖循环利用建设工程。</w:t>
      </w:r>
      <w:r>
        <w:rPr>
          <w:rFonts w:hint="eastAsia" w:ascii="仿宋_GB2312" w:hAnsi="仿宋_GB2312" w:eastAsia="仿宋_GB2312" w:cs="仿宋_GB2312"/>
          <w:color w:val="auto"/>
          <w:sz w:val="32"/>
          <w:szCs w:val="32"/>
        </w:rPr>
        <w:t>实施养殖园生态化建设行动，打造全链条、大循环、高质量、纯绿色的生态养殖产业集群。坚持“源头减量、过程控制、末端利用”的治理路径，以规模养殖场为重点，鼓励在散养密集区建设畜禽集中处理中心，加大畜禽粪污处理设施配套建设力度，全面推进畜禽粪污处理和资源化利用</w:t>
      </w:r>
      <w:bookmarkStart w:id="90" w:name="_Toc495560675"/>
      <w:r>
        <w:rPr>
          <w:rFonts w:hint="eastAsia" w:ascii="仿宋_GB2312" w:hAnsi="仿宋_GB2312" w:eastAsia="仿宋_GB2312" w:cs="仿宋_GB2312"/>
          <w:color w:val="auto"/>
          <w:sz w:val="32"/>
          <w:szCs w:val="32"/>
        </w:rPr>
        <w:t>。加大病死畜禽的处理利用</w:t>
      </w:r>
      <w:bookmarkEnd w:id="90"/>
      <w:r>
        <w:rPr>
          <w:rFonts w:hint="eastAsia" w:ascii="仿宋_GB2312" w:hAnsi="仿宋_GB2312" w:eastAsia="仿宋_GB2312" w:cs="仿宋_GB2312"/>
          <w:color w:val="auto"/>
          <w:sz w:val="32"/>
          <w:szCs w:val="32"/>
        </w:rPr>
        <w:t>，在全市养殖集聚区建立大型的病死畜禽处理中心，围绕收集、暂存、处理等关键环节实施无害化处理。</w:t>
      </w:r>
      <w:bookmarkStart w:id="91" w:name="_Toc9989"/>
      <w:bookmarkEnd w:id="91"/>
      <w:bookmarkStart w:id="92" w:name="_Toc527529802"/>
      <w:r>
        <w:rPr>
          <w:rFonts w:hint="eastAsia" w:ascii="仿宋_GB2312" w:hAnsi="仿宋_GB2312" w:eastAsia="仿宋_GB2312" w:cs="仿宋_GB2312"/>
          <w:color w:val="auto"/>
          <w:sz w:val="32"/>
          <w:szCs w:val="32"/>
        </w:rPr>
        <w:t>到2025年，规模养殖场粪污处理设备配套率达9</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%以上，畜禽粪污综合利用率达9</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%以上。</w:t>
      </w:r>
      <w:bookmarkEnd w:id="92"/>
    </w:p>
    <w:p w14:paraId="71D5A8A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4.养殖防疫管理体系建设行动。</w:t>
      </w:r>
      <w:r>
        <w:rPr>
          <w:rFonts w:hint="eastAsia" w:ascii="仿宋_GB2312" w:hAnsi="仿宋_GB2312" w:eastAsia="仿宋_GB2312" w:cs="仿宋_GB2312"/>
          <w:color w:val="auto"/>
          <w:sz w:val="32"/>
          <w:szCs w:val="32"/>
        </w:rPr>
        <w:t>加强动物防疫管理和疫病防治体系建设，建立省市县联网的动物检疫大数据中心，完善县、乡、村、场四级动物防疫网络建设。建立兽药产品、疫苗冷链监测与追溯系统，加大饲料兽药生产经营执法检查，严厉打击使用违禁添加剂、兽药等违法行为。落实质量安全管理制度，建立屠宰企业信息平台，推动屠宰环节进场检疫、宰后检疫、肉品品质检验、屠宰无害化处理全程监管体系建设。</w:t>
      </w:r>
      <w:bookmarkStart w:id="93" w:name="_Toc31168"/>
    </w:p>
    <w:p w14:paraId="722AAD3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五、中药材产业集群</w:t>
      </w:r>
      <w:bookmarkEnd w:id="93"/>
    </w:p>
    <w:p w14:paraId="7224995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以建设山西省道地中药材基地为目标，全面实施中药材崛起工程。在中条山、稷王山两个优势区重点发展柴胡、黄芩、远志等道地中药材，推广林下中药材种植。加快推动中药材精深加工。建立运城中药材产地交易集散中心。重点扶持15家中药材示范合作社和龙头企业，初步建成中药材种植、加工和研发的产业化体系和市场营销体系。到2025年，全市道地中药材基地面积发展到</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0万亩，总产值达到</w:t>
      </w:r>
      <w:r>
        <w:rPr>
          <w:rFonts w:hint="eastAsia" w:ascii="仿宋_GB2312" w:hAnsi="仿宋_GB2312" w:eastAsia="仿宋_GB2312" w:cs="仿宋_GB2312"/>
          <w:color w:val="auto"/>
          <w:sz w:val="32"/>
          <w:szCs w:val="32"/>
          <w:lang w:val="en-US" w:eastAsia="zh-CN"/>
        </w:rPr>
        <w:t>33</w:t>
      </w:r>
      <w:r>
        <w:rPr>
          <w:rFonts w:hint="eastAsia" w:ascii="仿宋_GB2312" w:hAnsi="仿宋_GB2312" w:eastAsia="仿宋_GB2312" w:cs="仿宋_GB2312"/>
          <w:color w:val="auto"/>
          <w:sz w:val="32"/>
          <w:szCs w:val="32"/>
        </w:rPr>
        <w:t>亿元</w:t>
      </w:r>
      <w:r>
        <w:rPr>
          <w:rFonts w:hint="eastAsia" w:ascii="仿宋_GB2312" w:hAnsi="仿宋_GB2312" w:eastAsia="仿宋_GB2312" w:cs="仿宋_GB2312"/>
          <w:color w:val="auto"/>
          <w:sz w:val="32"/>
          <w:szCs w:val="32"/>
          <w:lang w:eastAsia="zh-CN"/>
        </w:rPr>
        <w:t>左右</w:t>
      </w:r>
      <w:r>
        <w:rPr>
          <w:rFonts w:hint="eastAsia" w:ascii="仿宋_GB2312" w:hAnsi="仿宋_GB2312" w:eastAsia="仿宋_GB2312" w:cs="仿宋_GB2312"/>
          <w:color w:val="auto"/>
          <w:sz w:val="32"/>
          <w:szCs w:val="32"/>
        </w:rPr>
        <w:t>。</w:t>
      </w:r>
    </w:p>
    <w:p w14:paraId="7CEE0D6F">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18D8BDC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1.中药材基地建设工程。</w:t>
      </w:r>
      <w:r>
        <w:rPr>
          <w:rFonts w:hint="eastAsia" w:ascii="仿宋_GB2312" w:hAnsi="仿宋_GB2312" w:eastAsia="仿宋_GB2312" w:cs="仿宋_GB2312"/>
          <w:color w:val="auto"/>
          <w:sz w:val="32"/>
          <w:szCs w:val="32"/>
        </w:rPr>
        <w:t>认真落实国家《中医药发展战略规划纲要》，推动中条山、稷王山两大中药材产业基地建设。加强中药材良种繁育和资源保护。建设种质资源圃和与之相配套的优良品种选育圃，开展地方中药材种质资源保护和野生道地药材的家种驯化。扩大人工种植中药材面积，科学利用山区林下、荒山荒坡发展半野生中药材，推动道地中药材及药食同源产业发展。</w:t>
      </w:r>
    </w:p>
    <w:p w14:paraId="603D886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2.山西药茶品牌建设工程。</w:t>
      </w:r>
      <w:r>
        <w:rPr>
          <w:rFonts w:hint="eastAsia" w:ascii="仿宋_GB2312" w:hAnsi="仿宋_GB2312" w:eastAsia="仿宋_GB2312" w:cs="仿宋_GB2312"/>
          <w:color w:val="auto"/>
          <w:sz w:val="32"/>
          <w:szCs w:val="32"/>
        </w:rPr>
        <w:t>用好山西药茶公用品牌，打造具有运城特色的槐米、菊花、杜仲、芦笋、连翘等药茶系列产品，支持药茶龙头企业发展，形成“公用品牌+区域品牌”的畅销产品。</w:t>
      </w:r>
    </w:p>
    <w:p w14:paraId="57C52CD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3.运城市中药材产地交易集散中心建设工程。</w:t>
      </w:r>
      <w:r>
        <w:rPr>
          <w:rFonts w:hint="eastAsia" w:ascii="仿宋_GB2312" w:hAnsi="仿宋_GB2312" w:eastAsia="仿宋_GB2312" w:cs="仿宋_GB2312"/>
          <w:color w:val="auto"/>
          <w:sz w:val="32"/>
          <w:szCs w:val="32"/>
        </w:rPr>
        <w:t>运城具有多种地道中药材种植的优势和条件，同时也是黄河金三角区域药材集散的物流中心，建立产地交易集散中心，逐步分流全国部分药材交易市场的药材流向，形成具有一定影响力的药材集散中心。</w:t>
      </w:r>
      <w:bookmarkStart w:id="94" w:name="_Toc21223"/>
    </w:p>
    <w:p w14:paraId="508280F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六、种业产业集群</w:t>
      </w:r>
      <w:bookmarkEnd w:id="94"/>
    </w:p>
    <w:p w14:paraId="5E06D73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运城市是传统农业大市，是种子消费大市，更是种质资源大市。常年农作物用种量达6500万公斤</w:t>
      </w:r>
      <w:r>
        <w:rPr>
          <w:rFonts w:hint="eastAsia" w:ascii="仿宋_GB2312" w:hAnsi="仿宋_GB2312" w:eastAsia="仿宋_GB2312" w:cs="仿宋_GB2312"/>
          <w:color w:val="auto"/>
          <w:sz w:val="32"/>
          <w:szCs w:val="32"/>
          <w:lang w:eastAsia="zh-CN"/>
        </w:rPr>
        <w:t>，种子市场规模</w:t>
      </w:r>
      <w:r>
        <w:rPr>
          <w:rFonts w:hint="eastAsia" w:ascii="仿宋_GB2312" w:hAnsi="仿宋_GB2312" w:eastAsia="仿宋_GB2312" w:cs="仿宋_GB2312"/>
          <w:color w:val="auto"/>
          <w:sz w:val="32"/>
          <w:szCs w:val="32"/>
        </w:rPr>
        <w:t>5亿元以上。</w:t>
      </w:r>
      <w:r>
        <w:rPr>
          <w:rFonts w:hint="eastAsia" w:ascii="仿宋_GB2312" w:hAnsi="仿宋_GB2312" w:eastAsia="仿宋_GB2312" w:cs="仿宋_GB2312"/>
          <w:color w:val="auto"/>
          <w:sz w:val="32"/>
          <w:szCs w:val="32"/>
          <w:lang w:eastAsia="zh-CN"/>
        </w:rPr>
        <w:t>“十四五”期间，以打造现代种业强市为总体目标，以建设“一核心五基地”为总体发展思路，加快构建现代种业产业体系，推进粮油、蔬菜、干鲜果及特色经济林、畜禽、水产等五大主导产业发展，实现种业大市向种业强市转变。</w:t>
      </w:r>
      <w:r>
        <w:rPr>
          <w:rFonts w:hint="eastAsia" w:ascii="仿宋_GB2312" w:hAnsi="仿宋_GB2312" w:eastAsia="仿宋_GB2312" w:cs="仿宋_GB2312"/>
          <w:color w:val="auto"/>
          <w:sz w:val="32"/>
          <w:szCs w:val="32"/>
        </w:rPr>
        <w:t>力争到2025年，全市种业总产值达到50亿元，推动种业成为运城现代农业的支柱产业。</w:t>
      </w:r>
    </w:p>
    <w:p w14:paraId="65C8B425">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153B358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 xml:space="preserve"> 1.运城市现代种业联盟创建工程。</w:t>
      </w:r>
      <w:r>
        <w:rPr>
          <w:rFonts w:hint="eastAsia" w:ascii="仿宋_GB2312" w:hAnsi="仿宋_GB2312" w:eastAsia="仿宋_GB2312" w:cs="仿宋_GB2312"/>
          <w:color w:val="auto"/>
          <w:sz w:val="32"/>
          <w:szCs w:val="32"/>
        </w:rPr>
        <w:t>由运城市农业科学合作研究院牵头，联合种业技术领域的高等院校、科研机构、种业龙头企业和农民专业合作社等创新主体，组建运城市现代种业联盟和现代种业研发中心，开展联合攻关和技术创新，率先在粮食、蔬菜、畜牧、水产和</w:t>
      </w:r>
      <w:r>
        <w:rPr>
          <w:rFonts w:hint="eastAsia" w:ascii="仿宋_GB2312" w:hAnsi="仿宋_GB2312" w:eastAsia="仿宋_GB2312" w:cs="仿宋_GB2312"/>
          <w:color w:val="auto"/>
          <w:sz w:val="32"/>
          <w:szCs w:val="32"/>
          <w:lang w:eastAsia="zh-CN"/>
        </w:rPr>
        <w:t>干鲜</w:t>
      </w:r>
      <w:r>
        <w:rPr>
          <w:rFonts w:hint="eastAsia" w:ascii="仿宋_GB2312" w:hAnsi="仿宋_GB2312" w:eastAsia="仿宋_GB2312" w:cs="仿宋_GB2312"/>
          <w:color w:val="auto"/>
          <w:sz w:val="32"/>
          <w:szCs w:val="32"/>
        </w:rPr>
        <w:t>果种子（种苗）上实现突破，推进小麦、玉米、蔬菜、晋南牛、种猪、种鸡、水产、水果、药材、特色经济林等优势种业高质量发展，打造运城种业强市。</w:t>
      </w:r>
    </w:p>
    <w:p w14:paraId="2099A03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2.现代种业集团培育工程。</w:t>
      </w:r>
      <w:r>
        <w:rPr>
          <w:rFonts w:hint="eastAsia" w:ascii="仿宋_GB2312" w:hAnsi="仿宋_GB2312" w:eastAsia="仿宋_GB2312" w:cs="仿宋_GB2312"/>
          <w:color w:val="auto"/>
          <w:sz w:val="32"/>
          <w:szCs w:val="32"/>
        </w:rPr>
        <w:t>重点培育三联种业、绛山种业、山西瑞恒农业、山西长荣农科、广东海大集团（永济）、特色水果（临猗、绛县）等一批具有竞争优势的种子(种苗)龙头企业。支持育繁推一体化种业企业兼并重组，建立育繁推一体化企业集团，进一步开拓国际国内市场。到2025年，建立育种创新和良种推广专项基金，打造</w:t>
      </w:r>
      <w:r>
        <w:rPr>
          <w:rFonts w:hint="eastAsia" w:ascii="仿宋_GB2312" w:hAnsi="仿宋_GB2312" w:eastAsia="仿宋_GB2312" w:cs="仿宋_GB2312"/>
          <w:color w:val="auto"/>
          <w:sz w:val="32"/>
          <w:szCs w:val="32"/>
          <w:lang w:eastAsia="zh-CN"/>
        </w:rPr>
        <w:t>2</w:t>
      </w:r>
      <w:r>
        <w:rPr>
          <w:rFonts w:hint="eastAsia" w:ascii="仿宋_GB2312" w:hAnsi="仿宋_GB2312" w:eastAsia="仿宋_GB2312" w:cs="仿宋_GB2312"/>
          <w:color w:val="auto"/>
          <w:sz w:val="32"/>
          <w:szCs w:val="32"/>
        </w:rPr>
        <w:t>家亿元以上的现代种业集团，培育10家以上骨干特色种业企业。</w:t>
      </w:r>
    </w:p>
    <w:p w14:paraId="0B73782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3.现代种业基地建设工程。</w:t>
      </w:r>
      <w:r>
        <w:rPr>
          <w:rFonts w:hint="eastAsia" w:ascii="仿宋_GB2312" w:hAnsi="仿宋_GB2312" w:eastAsia="仿宋_GB2312" w:cs="仿宋_GB2312"/>
          <w:color w:val="auto"/>
          <w:sz w:val="32"/>
          <w:szCs w:val="32"/>
        </w:rPr>
        <w:t>重点依托三联种业、山西瑞恒农业、国家级晋南牛遗传资源基因保护中心、山西长荣农科、广东海大集团、康晟本草生物、临猗果业等种业龙头企业，建设一批设施化、标准化、集约化、机械化的优势种业繁育基地。到2025年，全市建成优质小麦种子生产基地</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0万亩，</w:t>
      </w:r>
      <w:r>
        <w:rPr>
          <w:rFonts w:hint="eastAsia" w:ascii="仿宋_GB2312" w:hAnsi="仿宋_GB2312" w:eastAsia="仿宋_GB2312" w:cs="仿宋_GB2312"/>
          <w:color w:val="auto"/>
          <w:sz w:val="32"/>
          <w:szCs w:val="32"/>
          <w:lang w:eastAsia="zh-CN"/>
        </w:rPr>
        <w:t>新增育苗面积</w:t>
      </w:r>
      <w:r>
        <w:rPr>
          <w:rFonts w:hint="eastAsia" w:ascii="仿宋_GB2312" w:hAnsi="仿宋_GB2312" w:eastAsia="仿宋_GB2312" w:cs="仿宋_GB2312"/>
          <w:color w:val="auto"/>
          <w:sz w:val="32"/>
          <w:szCs w:val="32"/>
          <w:lang w:val="en-US" w:eastAsia="zh-CN"/>
        </w:rPr>
        <w:t>2万平米，育苗中心10个。</w:t>
      </w:r>
      <w:r>
        <w:rPr>
          <w:rFonts w:hint="eastAsia" w:ascii="仿宋_GB2312" w:hAnsi="仿宋_GB2312" w:eastAsia="仿宋_GB2312" w:cs="仿宋_GB2312"/>
          <w:color w:val="auto"/>
          <w:sz w:val="32"/>
          <w:szCs w:val="32"/>
        </w:rPr>
        <w:t>建成国家级种畜禽核心育种场1个，种畜禽原种场5个，二级以上种畜禽场15个。建成国家级水产(原)良种场2个，省级水产(原)良种场5个，水产种苗规模化繁育基地10个。建成苹果、樱桃、葡萄、药材、特色经济林等种苗基地</w:t>
      </w:r>
      <w:r>
        <w:rPr>
          <w:rFonts w:hint="eastAsia" w:ascii="仿宋_GB2312" w:hAnsi="仿宋_GB2312" w:eastAsia="仿宋_GB2312" w:cs="仿宋_GB2312"/>
          <w:color w:val="auto"/>
          <w:sz w:val="32"/>
          <w:szCs w:val="32"/>
          <w:lang w:val="en-US" w:eastAsia="zh-CN"/>
        </w:rPr>
        <w:t>15个</w:t>
      </w:r>
      <w:r>
        <w:rPr>
          <w:rFonts w:hint="eastAsia" w:ascii="仿宋_GB2312" w:hAnsi="仿宋_GB2312" w:eastAsia="仿宋_GB2312" w:cs="仿宋_GB2312"/>
          <w:color w:val="auto"/>
          <w:sz w:val="32"/>
          <w:szCs w:val="32"/>
        </w:rPr>
        <w:t>。</w:t>
      </w:r>
      <w:bookmarkStart w:id="95" w:name="_Toc10761"/>
    </w:p>
    <w:p w14:paraId="547262C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七、农产品加工产业集群</w:t>
      </w:r>
      <w:bookmarkEnd w:id="95"/>
    </w:p>
    <w:p w14:paraId="714E265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突出粮、果、菜、畜、食用菌、中药材等特色农产品资源优势，重点打造果品蔬菜、饮品酿品、主食糕点、中药材、肉蛋制品等五大产业集群，聚力集群发展面食糕点、水果饮料、药茶、葡萄酒、果醋果酒等特色产品，深度开发营养饮料、干果籽仁、脱水果蔬、调味佐料、优质杂粮等绿色产品。加强高端产品开发，加快农产品加工向医药、美容、保健、纺织、化工等领域延伸。到2025年，培育年销售收入亿元以上龙头企业50家，</w:t>
      </w:r>
      <w:r>
        <w:rPr>
          <w:rFonts w:hint="eastAsia" w:ascii="仿宋_GB2312" w:hAnsi="仿宋_GB2312" w:eastAsia="仿宋_GB2312" w:cs="仿宋_GB2312"/>
          <w:color w:val="auto"/>
          <w:sz w:val="32"/>
          <w:szCs w:val="32"/>
          <w:lang w:eastAsia="zh-CN"/>
        </w:rPr>
        <w:t>新</w:t>
      </w:r>
      <w:r>
        <w:rPr>
          <w:rFonts w:hint="eastAsia" w:ascii="仿宋_GB2312" w:hAnsi="仿宋_GB2312" w:eastAsia="仿宋_GB2312" w:cs="仿宋_GB2312"/>
          <w:color w:val="auto"/>
          <w:sz w:val="32"/>
          <w:szCs w:val="32"/>
        </w:rPr>
        <w:t>创建区域公用品牌</w:t>
      </w:r>
      <w:r>
        <w:rPr>
          <w:rFonts w:hint="eastAsia" w:ascii="仿宋_GB2312" w:hAnsi="仿宋_GB2312" w:eastAsia="仿宋_GB2312" w:cs="仿宋_GB2312"/>
          <w:color w:val="auto"/>
          <w:sz w:val="32"/>
          <w:szCs w:val="32"/>
          <w:lang w:val="en-US" w:eastAsia="zh-CN"/>
        </w:rPr>
        <w:t>23</w:t>
      </w:r>
      <w:r>
        <w:rPr>
          <w:rFonts w:hint="eastAsia" w:ascii="仿宋_GB2312" w:hAnsi="仿宋_GB2312" w:eastAsia="仿宋_GB2312" w:cs="仿宋_GB2312"/>
          <w:color w:val="auto"/>
          <w:sz w:val="32"/>
          <w:szCs w:val="32"/>
        </w:rPr>
        <w:t>个，农产品加工转化率达到</w:t>
      </w:r>
      <w:r>
        <w:rPr>
          <w:rFonts w:hint="eastAsia" w:ascii="仿宋_GB2312" w:hAnsi="仿宋_GB2312" w:eastAsia="仿宋_GB2312" w:cs="仿宋_GB2312"/>
          <w:color w:val="auto"/>
          <w:sz w:val="32"/>
          <w:szCs w:val="32"/>
          <w:lang w:val="en-US" w:eastAsia="zh-CN"/>
        </w:rPr>
        <w:t>70</w:t>
      </w:r>
      <w:r>
        <w:rPr>
          <w:rFonts w:hint="eastAsia" w:ascii="仿宋_GB2312" w:hAnsi="仿宋_GB2312" w:eastAsia="仿宋_GB2312" w:cs="仿宋_GB2312"/>
          <w:color w:val="auto"/>
          <w:sz w:val="32"/>
          <w:szCs w:val="32"/>
        </w:rPr>
        <w:t>%，力争实现农产品加工销售收入500亿目标。</w:t>
      </w:r>
    </w:p>
    <w:p w14:paraId="37BD0896">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1E7DF314">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农产品精深加工产业集群培育工程。推进农产品由初加工向精深加工发展，促进以粮、果、菜、畜、食用菌、中药材等农产品向方便食品、休闲食品、净菜加工、圳品建设等特色领域延伸。重点培育天之润、晋龙、维之王、象丰、牧原、凯盛肥业、晋星牧业、格瑞特等一批自主创新能力强、市场前景好的骨干企业。到2025年，扶持发展5000万以上骨干企业100家，培育引进年销售收入亿元以上龙头企业50家，形成梯次结构的农产品加工业发展格局。</w:t>
      </w:r>
    </w:p>
    <w:p w14:paraId="30F892AB">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bookmarkStart w:id="96" w:name="_Toc28404"/>
      <w:r>
        <w:rPr>
          <w:rFonts w:hint="eastAsia" w:ascii="楷体_GB2312" w:hAnsi="仿宋" w:eastAsia="楷体_GB2312" w:cs="仿宋"/>
          <w:color w:val="auto"/>
          <w:sz w:val="32"/>
          <w:szCs w:val="32"/>
          <w:lang w:val="en-US" w:eastAsia="zh-CN"/>
        </w:rPr>
        <w:t>农产品加工龙头企业梯队培育工程。</w:t>
      </w:r>
      <w:r>
        <w:rPr>
          <w:rFonts w:hint="eastAsia" w:ascii="仿宋_GB2312" w:hAnsi="仿宋_GB2312" w:eastAsia="仿宋_GB2312" w:cs="仿宋_GB2312"/>
          <w:color w:val="auto"/>
          <w:sz w:val="32"/>
          <w:szCs w:val="32"/>
        </w:rPr>
        <w:t>坚持全链打造</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发挥龙头企业的链主作用，不断拓展农业的食品保障、休闲体验、生态涵养和文化传承等多种功能，整合创新链、优化供应链、提升价值链、畅通资金链，推动产加销服贯通、农食文旅教融合，做优一批引领行业发展的“链主”龙头企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做强一批具有自主创新能力的科技领军型龙头企业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做大一批联农带农紧密的区域型龙头企业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构建高质高效的现代</w:t>
      </w:r>
      <w:r>
        <w:rPr>
          <w:rFonts w:hint="eastAsia" w:ascii="仿宋_GB2312" w:hAnsi="仿宋_GB2312" w:eastAsia="仿宋_GB2312" w:cs="仿宋_GB2312"/>
          <w:color w:val="auto"/>
          <w:sz w:val="32"/>
          <w:szCs w:val="32"/>
          <w:lang w:val="en-US" w:eastAsia="zh-CN"/>
        </w:rPr>
        <w:t>农产品加工</w:t>
      </w:r>
      <w:r>
        <w:rPr>
          <w:rFonts w:hint="eastAsia" w:ascii="仿宋_GB2312" w:hAnsi="仿宋_GB2312" w:eastAsia="仿宋_GB2312" w:cs="仿宋_GB2312"/>
          <w:color w:val="auto"/>
          <w:sz w:val="32"/>
          <w:szCs w:val="32"/>
          <w:lang w:eastAsia="zh-CN"/>
        </w:rPr>
        <w:t>产业</w:t>
      </w:r>
      <w:r>
        <w:rPr>
          <w:rFonts w:hint="eastAsia" w:ascii="仿宋_GB2312" w:hAnsi="仿宋_GB2312" w:eastAsia="仿宋_GB2312" w:cs="仿宋_GB2312"/>
          <w:color w:val="auto"/>
          <w:sz w:val="32"/>
          <w:szCs w:val="32"/>
        </w:rPr>
        <w:t>体系。到2025年末，</w:t>
      </w:r>
      <w:r>
        <w:rPr>
          <w:rFonts w:hint="eastAsia" w:ascii="仿宋_GB2312" w:hAnsi="仿宋_GB2312" w:eastAsia="仿宋_GB2312" w:cs="仿宋_GB2312"/>
          <w:color w:val="auto"/>
          <w:sz w:val="32"/>
          <w:szCs w:val="32"/>
          <w:lang w:eastAsia="zh-CN"/>
        </w:rPr>
        <w:t>全市新</w:t>
      </w:r>
      <w:r>
        <w:rPr>
          <w:rFonts w:hint="eastAsia" w:ascii="仿宋_GB2312" w:hAnsi="仿宋_GB2312" w:eastAsia="仿宋_GB2312" w:cs="仿宋_GB2312"/>
          <w:color w:val="auto"/>
          <w:sz w:val="32"/>
          <w:szCs w:val="32"/>
        </w:rPr>
        <w:t>培育农业产业化国家重点龙头企业超过</w:t>
      </w:r>
      <w:r>
        <w:rPr>
          <w:rFonts w:hint="eastAsia" w:ascii="仿宋_GB2312" w:hAnsi="仿宋_GB2312" w:eastAsia="仿宋_GB2312" w:cs="仿宋_GB2312"/>
          <w:color w:val="auto"/>
          <w:sz w:val="32"/>
          <w:szCs w:val="32"/>
          <w:lang w:val="en-US" w:eastAsia="zh-CN"/>
        </w:rPr>
        <w:t>7</w:t>
      </w:r>
      <w:r>
        <w:rPr>
          <w:rFonts w:hint="eastAsia" w:ascii="仿宋_GB2312" w:hAnsi="仿宋_GB2312" w:eastAsia="仿宋_GB2312" w:cs="仿宋_GB2312"/>
          <w:color w:val="auto"/>
          <w:sz w:val="32"/>
          <w:szCs w:val="32"/>
        </w:rPr>
        <w:t>家，引领乡村产业高质量发展。</w:t>
      </w:r>
    </w:p>
    <w:bookmarkEnd w:id="96"/>
    <w:p w14:paraId="15023F70">
      <w:pPr>
        <w:spacing w:line="650" w:lineRule="exact"/>
        <w:ind w:firstLine="640" w:firstLineChars="200"/>
        <w:rPr>
          <w:rFonts w:hint="eastAsia" w:ascii="仿宋" w:hAnsi="仿宋" w:eastAsia="仿宋" w:cs="仿宋"/>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楷体_GB2312" w:hAnsi="仿宋" w:eastAsia="楷体_GB2312" w:cs="仿宋"/>
          <w:color w:val="auto"/>
          <w:sz w:val="32"/>
          <w:szCs w:val="32"/>
          <w:lang w:eastAsia="zh-CN"/>
        </w:rPr>
        <w:t>农产品加工业链</w:t>
      </w:r>
      <w:r>
        <w:rPr>
          <w:rFonts w:hint="eastAsia" w:ascii="楷体_GB2312" w:hAnsi="仿宋" w:eastAsia="楷体_GB2312" w:cs="仿宋"/>
          <w:color w:val="auto"/>
          <w:sz w:val="32"/>
          <w:szCs w:val="32"/>
        </w:rPr>
        <w:t>融合发展集群</w:t>
      </w:r>
      <w:r>
        <w:rPr>
          <w:rFonts w:hint="eastAsia" w:ascii="楷体_GB2312" w:hAnsi="仿宋" w:eastAsia="楷体_GB2312" w:cs="仿宋"/>
          <w:color w:val="auto"/>
          <w:sz w:val="32"/>
          <w:szCs w:val="32"/>
          <w:lang w:eastAsia="zh-CN"/>
        </w:rPr>
        <w:t>建设工程。</w:t>
      </w:r>
      <w:r>
        <w:rPr>
          <w:rFonts w:hint="eastAsia" w:ascii="仿宋_GB2312" w:hAnsi="仿宋_GB2312" w:eastAsia="仿宋_GB2312" w:cs="仿宋_GB2312"/>
          <w:color w:val="auto"/>
          <w:sz w:val="32"/>
          <w:szCs w:val="32"/>
        </w:rPr>
        <w:t>依托产业基础构建“企业+基地+农户+市场+品牌”的农产品全链条产业集群。</w:t>
      </w:r>
    </w:p>
    <w:p w14:paraId="2D2E4F28">
      <w:pPr>
        <w:spacing w:line="650" w:lineRule="exact"/>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1</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果菜产业集群</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形成以维之王、山里红、金顺源、汇源果汁等农业产业化龙头企业为引领的优质果品产业集群，到2025年实现销售收入90亿元。</w:t>
      </w:r>
    </w:p>
    <w:p w14:paraId="21D0A3E1">
      <w:pPr>
        <w:spacing w:line="650" w:lineRule="exact"/>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2</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饮品酿品产业集群</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以天之润枣业、格瑞特酒业、张营醋业等加工骨干企业为引领的饮品酿品产业集群，重点将药茶纳入产业中，到2025年销售收入42亿元。</w:t>
      </w:r>
    </w:p>
    <w:p w14:paraId="643A9EB6">
      <w:pPr>
        <w:spacing w:line="650" w:lineRule="exact"/>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主食糕点产业集群</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重点扶</w:t>
      </w:r>
      <w:r>
        <w:rPr>
          <w:rFonts w:hint="eastAsia" w:ascii="仿宋_GB2312" w:hAnsi="仿宋_GB2312" w:eastAsia="仿宋_GB2312" w:cs="仿宋_GB2312"/>
          <w:color w:val="auto"/>
          <w:sz w:val="32"/>
          <w:szCs w:val="32"/>
          <w:u w:val="none"/>
        </w:rPr>
        <w:t>持蒲雪、鑫</w:t>
      </w:r>
      <w:r>
        <w:rPr>
          <w:rFonts w:hint="eastAsia" w:ascii="仿宋_GB2312" w:hAnsi="仿宋_GB2312" w:eastAsia="仿宋_GB2312" w:cs="仿宋_GB2312"/>
          <w:color w:val="auto"/>
          <w:sz w:val="32"/>
          <w:szCs w:val="32"/>
        </w:rPr>
        <w:t>麦康、天瑞福等“运城面粉”企业，支持盐湖福同惠、</w:t>
      </w:r>
      <w:r>
        <w:rPr>
          <w:rFonts w:hint="eastAsia" w:ascii="仿宋_GB2312" w:hAnsi="仿宋_GB2312" w:eastAsia="仿宋_GB2312" w:cs="仿宋_GB2312"/>
          <w:color w:val="auto"/>
          <w:sz w:val="32"/>
          <w:szCs w:val="32"/>
          <w:lang w:eastAsia="zh-CN"/>
        </w:rPr>
        <w:t>锅巴，</w:t>
      </w:r>
      <w:r>
        <w:rPr>
          <w:rFonts w:hint="eastAsia" w:ascii="仿宋_GB2312" w:hAnsi="仿宋_GB2312" w:eastAsia="仿宋_GB2312" w:cs="仿宋_GB2312"/>
          <w:color w:val="auto"/>
          <w:sz w:val="32"/>
          <w:szCs w:val="32"/>
        </w:rPr>
        <w:t>闻喜煮饼、卫嫂馍业、稷山麻花等中华老字号和知名品牌建设，打造主食糕点产业集群，到2025年销售收入6亿元。</w:t>
      </w:r>
    </w:p>
    <w:p w14:paraId="26F5EDC4">
      <w:pPr>
        <w:spacing w:line="650" w:lineRule="exact"/>
        <w:ind w:firstLine="643" w:firstLineChars="200"/>
        <w:rPr>
          <w:rFonts w:hint="eastAsia" w:ascii="仿宋_GB2312" w:hAnsi="仿宋_GB2312" w:eastAsia="仿宋_GB2312" w:cs="仿宋_GB2312"/>
          <w:color w:val="auto"/>
          <w:sz w:val="32"/>
          <w:szCs w:val="32"/>
          <w:shd w:val="clear"/>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4</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中药材产业集群</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以亚宝药业、华康药业两个国家级农业产业化龙头企业为引领的中药材产业集群，</w:t>
      </w:r>
      <w:r>
        <w:rPr>
          <w:rFonts w:hint="eastAsia" w:ascii="仿宋_GB2312" w:hAnsi="仿宋_GB2312" w:eastAsia="仿宋_GB2312" w:cs="仿宋_GB2312"/>
          <w:color w:val="auto"/>
          <w:sz w:val="32"/>
          <w:szCs w:val="32"/>
          <w:shd w:val="clear"/>
        </w:rPr>
        <w:t>到2025年销售收入32亿元。</w:t>
      </w:r>
    </w:p>
    <w:p w14:paraId="547B2DDD">
      <w:pPr>
        <w:spacing w:line="650" w:lineRule="exact"/>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val="en-US" w:eastAsia="zh-CN"/>
        </w:rPr>
        <w:t>（5）</w:t>
      </w:r>
      <w:r>
        <w:rPr>
          <w:rFonts w:hint="eastAsia" w:ascii="仿宋_GB2312" w:hAnsi="仿宋_GB2312" w:eastAsia="仿宋_GB2312" w:cs="仿宋_GB2312"/>
          <w:b/>
          <w:bCs/>
          <w:color w:val="auto"/>
          <w:sz w:val="32"/>
          <w:szCs w:val="32"/>
        </w:rPr>
        <w:t>肉蛋制品产业集群</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rPr>
        <w:t>以晋星牧业、</w:t>
      </w:r>
      <w:r>
        <w:rPr>
          <w:rFonts w:hint="eastAsia" w:ascii="仿宋_GB2312" w:hAnsi="仿宋_GB2312" w:eastAsia="仿宋_GB2312" w:cs="仿宋_GB2312"/>
          <w:color w:val="auto"/>
          <w:sz w:val="32"/>
          <w:szCs w:val="32"/>
          <w:lang w:eastAsia="zh-CN"/>
        </w:rPr>
        <w:t>晋龙养殖、</w:t>
      </w:r>
      <w:r>
        <w:rPr>
          <w:rFonts w:hint="eastAsia" w:ascii="仿宋_GB2312" w:hAnsi="仿宋_GB2312" w:eastAsia="仿宋_GB2312" w:cs="仿宋_GB2312"/>
          <w:color w:val="auto"/>
          <w:sz w:val="32"/>
          <w:szCs w:val="32"/>
        </w:rPr>
        <w:t>闻喜象丰、牧原、温氏等畜禽养殖加工龙头企业为引领的肉蛋制品产业集群，到2025年销售收入80亿元。</w:t>
      </w:r>
    </w:p>
    <w:p w14:paraId="0DDA313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p>
    <w:p w14:paraId="4A35128A">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97" w:name="_Toc5708"/>
      <w:r>
        <w:rPr>
          <w:rFonts w:hint="eastAsia" w:ascii="楷体_GB2312" w:hAnsi="楷体_GB2312" w:eastAsia="楷体_GB2312" w:cs="楷体_GB2312"/>
          <w:bCs/>
          <w:color w:val="auto"/>
          <w:sz w:val="32"/>
          <w:szCs w:val="32"/>
        </w:rPr>
        <w:t>第三节  提升打造现代农业生产体系</w:t>
      </w:r>
      <w:bookmarkEnd w:id="97"/>
    </w:p>
    <w:p w14:paraId="46DCE7F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 xml:space="preserve"> </w:t>
      </w:r>
      <w:bookmarkStart w:id="98" w:name="_Toc520647574"/>
      <w:bookmarkEnd w:id="98"/>
    </w:p>
    <w:p w14:paraId="6CD2E47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坚持基础兴农、科技兴农、质量兴农、绿色兴农，夯实农业发展基础，实施农业基础设施和农业科技创新能力提档升级，全方位提升农业基础条件和农业装备水平，推进农业科技创新和成果应用，提高农业良种化、机械化、科技化、信息化、标准化、绿色化水平，加快构建现代农业生产体系。</w:t>
      </w:r>
      <w:bookmarkStart w:id="99" w:name="_Toc28728"/>
    </w:p>
    <w:p w14:paraId="144CDD9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一、建立和完善农业标准化生产体系</w:t>
      </w:r>
      <w:bookmarkEnd w:id="99"/>
    </w:p>
    <w:p w14:paraId="48501A3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推动现代农业全产业链标准化，按照“有标采标、无标创标、全程贯标”的要求，加快产地环境、投入品管控、农兽药残留、产品加工、储运保鲜、品牌打造、分等分级关键环节标准的制修订，推动建立现代农业全产业链标准体系。开展农产品全产业链标准化试点，建设现代农业全产业链标准集成应用基地，培育一批农业企业标准“领跑者”。培育新型农业经营主体带动，扩大农民合作社质量提升整县推进试点，推进农业生产规模化、标准化</w:t>
      </w:r>
      <w:r>
        <w:rPr>
          <w:rFonts w:hint="eastAsia" w:ascii="仿宋_GB2312" w:hAnsi="仿宋_GB2312" w:eastAsia="仿宋_GB2312" w:cs="仿宋_GB2312"/>
          <w:color w:val="auto"/>
          <w:sz w:val="32"/>
          <w:szCs w:val="32"/>
          <w:lang w:eastAsia="zh-CN"/>
        </w:rPr>
        <w:t>，推广落实农产品承诺达标合格证制度。</w:t>
      </w:r>
      <w:r>
        <w:rPr>
          <w:rFonts w:hint="eastAsia" w:ascii="仿宋_GB2312" w:hAnsi="仿宋_GB2312" w:eastAsia="仿宋_GB2312" w:cs="仿宋_GB2312"/>
          <w:color w:val="auto"/>
          <w:sz w:val="32"/>
          <w:szCs w:val="32"/>
        </w:rPr>
        <w:t>加快培育农业产业化龙头企业，扶持一批农业产业化龙头企业牵头、家庭农场和农民合作社跟进、广大小农户参与的农业产业化联合体，带动大规模标准化生产。健全社会化服务体系推动，培育一批多元化专业化农业社会化服务组织，开展生资配送、代耕代种、统防统治、烘干收储等生产托管服务，推动农业生产专业化、标准化、集约化。提升农产品加工业拉动，拓展农产品初加工，建设产地仓储保鲜冷链物流设施，延长供应时间，保证产品质量。发展农产品精深加工，推进农产品标准化、清洁化、智能化生产。在现代农业产业示范区、农业绿色发展先行区、农产品质量安全县、现代农业产业园、农业产业强镇、“一村一品”示范村镇等，全域推行农业生产“三品一标”（品种培优、品质提升、品牌打造和标准化生产），打造一批示范典型。</w:t>
      </w:r>
    </w:p>
    <w:p w14:paraId="2645D361">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5F11936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1.制订运城特色农业生产标准。</w:t>
      </w:r>
      <w:r>
        <w:rPr>
          <w:rFonts w:hint="eastAsia" w:ascii="仿宋_GB2312" w:hAnsi="仿宋_GB2312" w:eastAsia="仿宋_GB2312" w:cs="仿宋_GB2312"/>
          <w:color w:val="auto"/>
          <w:sz w:val="32"/>
          <w:szCs w:val="32"/>
        </w:rPr>
        <w:t>加快制定高于行业标准的小麦、水果、蔬菜、畜牧、水产、种业及农产品加工生产标准，充分发挥运城农业全省领先示范作用</w:t>
      </w:r>
      <w:r>
        <w:rPr>
          <w:rFonts w:hint="eastAsia" w:ascii="仿宋_GB2312" w:hAnsi="仿宋_GB2312" w:eastAsia="仿宋_GB2312" w:cs="仿宋_GB2312"/>
          <w:color w:val="auto"/>
          <w:sz w:val="32"/>
          <w:szCs w:val="32"/>
          <w:lang w:eastAsia="zh-CN"/>
        </w:rPr>
        <w:t>和地域气候优势</w:t>
      </w:r>
      <w:r>
        <w:rPr>
          <w:rFonts w:hint="eastAsia" w:ascii="仿宋_GB2312" w:hAnsi="仿宋_GB2312" w:eastAsia="仿宋_GB2312" w:cs="仿宋_GB2312"/>
          <w:color w:val="auto"/>
          <w:sz w:val="32"/>
          <w:szCs w:val="32"/>
        </w:rPr>
        <w:t>，更好的服务于运城农产品出口平台建设，打响“运城面粉”“运城苹果”“运城蔬菜”“运城</w:t>
      </w:r>
      <w:r>
        <w:rPr>
          <w:rFonts w:hint="eastAsia" w:ascii="仿宋_GB2312" w:hAnsi="仿宋_GB2312" w:eastAsia="仿宋_GB2312" w:cs="仿宋_GB2312"/>
          <w:color w:val="auto"/>
          <w:sz w:val="32"/>
          <w:szCs w:val="32"/>
          <w:lang w:eastAsia="zh-CN"/>
        </w:rPr>
        <w:t>果蔬茶</w:t>
      </w:r>
      <w:r>
        <w:rPr>
          <w:rFonts w:hint="eastAsia" w:ascii="仿宋_GB2312" w:hAnsi="仿宋_GB2312" w:eastAsia="仿宋_GB2312" w:cs="仿宋_GB2312"/>
          <w:color w:val="auto"/>
          <w:sz w:val="32"/>
          <w:szCs w:val="32"/>
        </w:rPr>
        <w:t>”区域公用品牌。</w:t>
      </w:r>
      <w:bookmarkStart w:id="100" w:name="_Toc520647576"/>
      <w:bookmarkEnd w:id="100"/>
    </w:p>
    <w:p w14:paraId="105D4D6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2.农业标准化实施与培训工程。</w:t>
      </w:r>
      <w:r>
        <w:rPr>
          <w:rFonts w:hint="eastAsia" w:ascii="仿宋_GB2312" w:hAnsi="仿宋_GB2312" w:eastAsia="仿宋_GB2312" w:cs="仿宋_GB2312"/>
          <w:color w:val="auto"/>
          <w:sz w:val="32"/>
          <w:szCs w:val="32"/>
        </w:rPr>
        <w:t>建立健全市、县、乡三级农业标准化推进工作机制，全面加强企业、合作社和家庭农场负责人以及新型农民标准化生产培训</w:t>
      </w:r>
      <w:bookmarkStart w:id="101" w:name="_Toc16925569"/>
      <w:bookmarkEnd w:id="101"/>
      <w:bookmarkStart w:id="102" w:name="_Toc16925625"/>
      <w:bookmarkEnd w:id="102"/>
      <w:bookmarkStart w:id="103" w:name="_Toc16925444"/>
      <w:bookmarkEnd w:id="103"/>
      <w:bookmarkStart w:id="104" w:name="_Toc520647579"/>
      <w:r>
        <w:rPr>
          <w:rFonts w:hint="eastAsia" w:ascii="仿宋_GB2312" w:hAnsi="仿宋_GB2312" w:eastAsia="仿宋_GB2312" w:cs="仿宋_GB2312"/>
          <w:color w:val="auto"/>
          <w:sz w:val="32"/>
          <w:szCs w:val="32"/>
        </w:rPr>
        <w:t>，推动现有农业标准的落地实施。</w:t>
      </w:r>
    </w:p>
    <w:p w14:paraId="0C97A6F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w:t>
      </w:r>
      <w:bookmarkEnd w:id="104"/>
      <w:r>
        <w:rPr>
          <w:rFonts w:hint="eastAsia" w:ascii="楷体_GB2312" w:hAnsi="楷体_GB2312" w:eastAsia="楷体_GB2312" w:cs="楷体_GB2312"/>
          <w:color w:val="auto"/>
          <w:sz w:val="32"/>
          <w:szCs w:val="32"/>
        </w:rPr>
        <w:t>农产品全产业链标准化试点工程。</w:t>
      </w:r>
      <w:r>
        <w:rPr>
          <w:rFonts w:hint="eastAsia" w:ascii="仿宋_GB2312" w:hAnsi="仿宋_GB2312" w:eastAsia="仿宋_GB2312" w:cs="仿宋_GB2312"/>
          <w:color w:val="auto"/>
          <w:sz w:val="32"/>
          <w:szCs w:val="32"/>
        </w:rPr>
        <w:t>山西是国家标准化试点省。加快围绕粮食、水果、蔬菜、畜牧、中药材等优势农产品生产，建立与国家行业标准相配套、出口标准相衔接的运城农产品市级标准。到2025年，率先在现代农业产业示范区、农业绿色发展先行区、农产品质量安全县、现代农业产业园、农业产业强镇、“一村一品”示范村镇，全域推行农业生产“三品一标”。</w:t>
      </w:r>
      <w:bookmarkStart w:id="105" w:name="_Toc27463"/>
    </w:p>
    <w:p w14:paraId="4407724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二、构建现代农业科技支撑体系</w:t>
      </w:r>
      <w:bookmarkEnd w:id="105"/>
      <w:bookmarkStart w:id="106" w:name="_Toc520647580"/>
      <w:bookmarkEnd w:id="106"/>
    </w:p>
    <w:p w14:paraId="71315E9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加快农业科技研发推广体系建设，推动现代农业科技创新和农业信息技术普及应用。围绕全市粮食、水果、蔬菜、畜牧水产、中药材、种业、农产品物流加工等产业，坚持技术集成、技术创新与示范应用相结合，增产增效相并重、良种良法相配套、农机农艺相结合、生产生态相协调的原则，促进农业技术集成化、劳动过程机械化、生产经营信息化、安全环保法治化，以新品种推广、新技术集成、新模式创建和新机制保障，打造适应高产、优质、高效、生态、安全发展要求的现代农业生产的技术体系、术创新体系、应用体系和服务体系，全面实现现代生物技术、信息技术、管理技术、科技保障全覆盖。到2025年，全市农业科技贡献率达到75%左右，主要农作物良种覆盖率</w:t>
      </w:r>
      <w:r>
        <w:rPr>
          <w:rFonts w:hint="eastAsia" w:ascii="仿宋_GB2312" w:hAnsi="仿宋_GB2312" w:eastAsia="仿宋_GB2312" w:cs="仿宋_GB2312"/>
          <w:color w:val="auto"/>
          <w:sz w:val="32"/>
          <w:szCs w:val="32"/>
          <w:lang w:val="en-US" w:eastAsia="zh-CN"/>
        </w:rPr>
        <w:t>98.6%</w:t>
      </w:r>
      <w:r>
        <w:rPr>
          <w:rFonts w:hint="eastAsia" w:ascii="仿宋_GB2312" w:hAnsi="仿宋_GB2312" w:eastAsia="仿宋_GB2312" w:cs="仿宋_GB2312"/>
          <w:color w:val="auto"/>
          <w:sz w:val="32"/>
          <w:szCs w:val="32"/>
        </w:rPr>
        <w:t>。干鲜果品主导新品种、主推新技术推广应用达到95%左右。建立高素质的农业科技队伍，培养基层农业技术骨干、土专家4000名，建设科技创新示范基地50个，开展农村实用技术培训每年10000人次。建立专业化的技术服务体系，形成</w:t>
      </w:r>
      <w:r>
        <w:rPr>
          <w:rFonts w:hint="eastAsia" w:ascii="仿宋_GB2312" w:hAnsi="仿宋_GB2312" w:eastAsia="仿宋_GB2312" w:cs="仿宋_GB2312"/>
          <w:color w:val="auto"/>
          <w:spacing w:val="0"/>
          <w:sz w:val="32"/>
          <w:szCs w:val="32"/>
        </w:rPr>
        <w:t>产业链上中下游贯通和产前产中产后相衔接的现</w:t>
      </w:r>
      <w:r>
        <w:rPr>
          <w:rFonts w:hint="eastAsia" w:ascii="仿宋_GB2312" w:hAnsi="仿宋_GB2312" w:eastAsia="仿宋_GB2312" w:cs="仿宋_GB2312"/>
          <w:color w:val="auto"/>
          <w:spacing w:val="-6"/>
          <w:sz w:val="32"/>
          <w:szCs w:val="32"/>
        </w:rPr>
        <w:t>代技术支撑体系。</w:t>
      </w:r>
      <w:bookmarkStart w:id="107" w:name="_Toc520647583"/>
      <w:bookmarkEnd w:id="107"/>
      <w:bookmarkStart w:id="108" w:name="_Toc28884"/>
    </w:p>
    <w:p w14:paraId="386F50B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三、</w:t>
      </w:r>
      <w:r>
        <w:rPr>
          <w:rFonts w:hint="eastAsia" w:ascii="黑体" w:hAnsi="黑体" w:eastAsia="黑体" w:cs="方正楷体_GBK"/>
          <w:bCs/>
          <w:color w:val="auto"/>
          <w:sz w:val="32"/>
          <w:szCs w:val="32"/>
          <w:lang w:eastAsia="zh-CN"/>
        </w:rPr>
        <w:t>推进</w:t>
      </w:r>
      <w:r>
        <w:rPr>
          <w:rFonts w:hint="eastAsia" w:ascii="黑体" w:hAnsi="黑体" w:eastAsia="黑体" w:cs="方正楷体_GBK"/>
          <w:bCs/>
          <w:color w:val="auto"/>
          <w:sz w:val="32"/>
          <w:szCs w:val="32"/>
        </w:rPr>
        <w:t>农业机械化装备水平</w:t>
      </w:r>
      <w:bookmarkEnd w:id="108"/>
    </w:p>
    <w:p w14:paraId="1B0D990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_GB2312" w:hAnsi="仿宋_GB2312" w:eastAsia="仿宋_GB2312" w:cs="仿宋_GB2312"/>
          <w:color w:val="auto"/>
          <w:sz w:val="32"/>
          <w:szCs w:val="32"/>
        </w:rPr>
        <w:t>大力推进农业机械化技术装备建设。到2025年，全市农机总动力在2020年316.6万千瓦的基础上增加到350万千瓦,主要农作物综合机械化率达到78.8%以上。坡平地主要粮食作物耕种收机械化率达到70%以上，黄汾基地和平川地区粮食作物机械化率达到95%左右，养殖业、设施农业、林果业机械化水平或作业率达到50%左右。创建农机化综合示范乡镇，实现全市适用区农业机械化全覆盖。</w:t>
      </w:r>
      <w:bookmarkStart w:id="109" w:name="_Toc458961065"/>
      <w:bookmarkEnd w:id="109"/>
      <w:bookmarkStart w:id="110" w:name="_Toc458959509"/>
      <w:bookmarkEnd w:id="110"/>
      <w:bookmarkStart w:id="111" w:name="_Toc458787767"/>
      <w:bookmarkEnd w:id="111"/>
      <w:bookmarkStart w:id="112" w:name="_Toc520647584"/>
      <w:bookmarkEnd w:id="112"/>
    </w:p>
    <w:p w14:paraId="69A679CD">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w:t>
      </w:r>
      <w:bookmarkStart w:id="113" w:name="_Toc520647585"/>
      <w:bookmarkEnd w:id="113"/>
      <w:r>
        <w:rPr>
          <w:rFonts w:hint="eastAsia" w:ascii="仿宋_GB2312" w:hAnsi="仿宋_GB2312" w:eastAsia="仿宋_GB2312" w:cs="仿宋_GB2312"/>
          <w:b/>
          <w:color w:val="auto"/>
          <w:sz w:val="32"/>
          <w:szCs w:val="32"/>
          <w:lang w:eastAsia="zh-CN"/>
        </w:rPr>
        <w:t>工程</w:t>
      </w:r>
      <w:r>
        <w:rPr>
          <w:rFonts w:hint="eastAsia" w:ascii="仿宋_GB2312" w:hAnsi="仿宋_GB2312" w:eastAsia="仿宋_GB2312" w:cs="仿宋_GB2312"/>
          <w:b/>
          <w:color w:val="auto"/>
          <w:sz w:val="32"/>
          <w:szCs w:val="32"/>
        </w:rPr>
        <w:t>：</w:t>
      </w:r>
    </w:p>
    <w:p w14:paraId="5B8316E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1.加强农机专业合作社和农机服务组织建设。</w:t>
      </w:r>
      <w:r>
        <w:rPr>
          <w:rFonts w:hint="eastAsia" w:ascii="仿宋_GB2312" w:hAnsi="仿宋_GB2312" w:eastAsia="仿宋_GB2312" w:cs="仿宋_GB2312"/>
          <w:color w:val="auto"/>
          <w:sz w:val="32"/>
          <w:szCs w:val="32"/>
        </w:rPr>
        <w:t>重点扶持培育一批设施完备、功能齐全、特色鲜明的示范农机合作社，带动大型、复式、高性能农机和先进农业技术的推广应用，引领全市农机合作社和农机装备大发展。鼓励农机大户和家庭农场开展多元化农机服务，培育农机作业、维修、中介、租赁等市场，扶持和培育新型农机经营职业组织，拓展农机从业人员能力素质。</w:t>
      </w:r>
      <w:bookmarkStart w:id="114" w:name="_Toc458787768"/>
      <w:bookmarkEnd w:id="114"/>
      <w:bookmarkStart w:id="115" w:name="_Toc458959510"/>
      <w:bookmarkEnd w:id="115"/>
      <w:bookmarkStart w:id="116" w:name="_Toc458961066"/>
      <w:bookmarkEnd w:id="116"/>
      <w:bookmarkStart w:id="117" w:name="_Toc520647586"/>
      <w:bookmarkEnd w:id="117"/>
    </w:p>
    <w:p w14:paraId="22EF785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2.黄河经济带全程农机化作业示范区建设工程。</w:t>
      </w:r>
      <w:r>
        <w:rPr>
          <w:rFonts w:hint="eastAsia" w:ascii="仿宋_GB2312" w:hAnsi="仿宋_GB2312" w:eastAsia="仿宋_GB2312" w:cs="仿宋_GB2312"/>
          <w:color w:val="auto"/>
          <w:sz w:val="32"/>
          <w:szCs w:val="32"/>
        </w:rPr>
        <w:t>建设黄河流域</w:t>
      </w:r>
      <w:r>
        <w:rPr>
          <w:rFonts w:hint="eastAsia" w:ascii="仿宋_GB2312" w:hAnsi="仿宋_GB2312" w:eastAsia="仿宋_GB2312" w:cs="仿宋_GB2312"/>
          <w:color w:val="auto"/>
          <w:sz w:val="32"/>
          <w:szCs w:val="32"/>
          <w:lang w:eastAsia="zh-CN"/>
        </w:rPr>
        <w:t>（运城段）</w:t>
      </w:r>
      <w:r>
        <w:rPr>
          <w:rFonts w:hint="eastAsia" w:ascii="仿宋_GB2312" w:hAnsi="仿宋_GB2312" w:eastAsia="仿宋_GB2312" w:cs="仿宋_GB2312"/>
          <w:color w:val="auto"/>
          <w:sz w:val="32"/>
          <w:szCs w:val="32"/>
        </w:rPr>
        <w:t>百万亩农机全程作业示范区，实现小麦、玉米等全程机械化作业。推进保护性耕作、精量播种</w:t>
      </w:r>
      <w:r>
        <w:rPr>
          <w:rFonts w:hint="eastAsia" w:ascii="仿宋_GB2312" w:hAnsi="仿宋_GB2312" w:eastAsia="仿宋_GB2312" w:cs="仿宋_GB2312"/>
          <w:color w:val="auto"/>
          <w:sz w:val="32"/>
          <w:szCs w:val="32"/>
          <w:lang w:eastAsia="zh-CN"/>
        </w:rPr>
        <w:t>施肥</w:t>
      </w:r>
      <w:r>
        <w:rPr>
          <w:rFonts w:hint="eastAsia" w:ascii="仿宋_GB2312" w:hAnsi="仿宋_GB2312" w:eastAsia="仿宋_GB2312" w:cs="仿宋_GB2312"/>
          <w:color w:val="auto"/>
          <w:sz w:val="32"/>
          <w:szCs w:val="32"/>
        </w:rPr>
        <w:t>、作物机收新机具推广，打造黄河</w:t>
      </w:r>
      <w:r>
        <w:rPr>
          <w:rFonts w:hint="eastAsia" w:ascii="仿宋_GB2312" w:hAnsi="仿宋_GB2312" w:eastAsia="仿宋_GB2312" w:cs="仿宋_GB2312"/>
          <w:color w:val="auto"/>
          <w:sz w:val="32"/>
          <w:szCs w:val="32"/>
          <w:lang w:eastAsia="zh-CN"/>
        </w:rPr>
        <w:t>流域</w:t>
      </w:r>
      <w:r>
        <w:rPr>
          <w:rFonts w:hint="eastAsia" w:ascii="仿宋_GB2312" w:hAnsi="仿宋_GB2312" w:eastAsia="仿宋_GB2312" w:cs="仿宋_GB2312"/>
          <w:color w:val="auto"/>
          <w:sz w:val="32"/>
          <w:szCs w:val="32"/>
        </w:rPr>
        <w:t>高质量发展示范区。</w:t>
      </w:r>
      <w:bookmarkStart w:id="118" w:name="_Toc520647587"/>
      <w:bookmarkEnd w:id="118"/>
      <w:bookmarkStart w:id="119" w:name="_Toc458787769"/>
      <w:bookmarkEnd w:id="119"/>
      <w:bookmarkStart w:id="120" w:name="_Toc458961067"/>
      <w:bookmarkEnd w:id="120"/>
      <w:bookmarkStart w:id="121" w:name="_Toc458959511"/>
      <w:bookmarkEnd w:id="121"/>
    </w:p>
    <w:p w14:paraId="3019385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3.建立水果、设施蔬菜机械化作业示范工程。</w:t>
      </w:r>
      <w:r>
        <w:rPr>
          <w:rFonts w:hint="eastAsia" w:ascii="仿宋_GB2312" w:hAnsi="仿宋_GB2312" w:eastAsia="仿宋_GB2312" w:cs="仿宋_GB2312"/>
          <w:color w:val="auto"/>
          <w:sz w:val="32"/>
          <w:szCs w:val="32"/>
        </w:rPr>
        <w:t>在盐湖、万荣、临猗建立水果机械化作业示范区，引进推广机械化除草、施肥、喷药、滴</w:t>
      </w:r>
      <w:r>
        <w:rPr>
          <w:rFonts w:hint="eastAsia" w:ascii="仿宋_GB2312" w:hAnsi="仿宋_GB2312" w:eastAsia="仿宋_GB2312" w:cs="仿宋_GB2312"/>
          <w:color w:val="auto"/>
          <w:sz w:val="32"/>
          <w:szCs w:val="32"/>
          <w:lang w:eastAsia="zh-CN"/>
        </w:rPr>
        <w:t>灌</w:t>
      </w:r>
      <w:r>
        <w:rPr>
          <w:rFonts w:hint="eastAsia" w:ascii="仿宋_GB2312" w:hAnsi="仿宋_GB2312" w:eastAsia="仿宋_GB2312" w:cs="仿宋_GB2312"/>
          <w:color w:val="auto"/>
          <w:sz w:val="32"/>
          <w:szCs w:val="32"/>
        </w:rPr>
        <w:t>、采收作业</w:t>
      </w:r>
      <w:bookmarkStart w:id="122" w:name="_Toc520647588"/>
      <w:bookmarkEnd w:id="122"/>
      <w:r>
        <w:rPr>
          <w:rFonts w:hint="eastAsia" w:ascii="仿宋_GB2312" w:hAnsi="仿宋_GB2312" w:eastAsia="仿宋_GB2312" w:cs="仿宋_GB2312"/>
          <w:color w:val="auto"/>
          <w:sz w:val="32"/>
          <w:szCs w:val="32"/>
        </w:rPr>
        <w:t>等国内外先进技术和机械设备。在新绛、夏县、盐湖建立设施蔬菜机械化智能化示范区。逐步在全市推广应用。</w:t>
      </w:r>
      <w:bookmarkStart w:id="123" w:name="_Toc2162"/>
    </w:p>
    <w:p w14:paraId="379D79BF">
      <w:pPr>
        <w:pStyle w:val="2"/>
        <w:spacing w:line="650" w:lineRule="exact"/>
        <w:rPr>
          <w:rFonts w:hint="eastAsia"/>
          <w:color w:val="auto"/>
          <w:lang w:eastAsia="zh-CN"/>
        </w:rPr>
      </w:pPr>
      <w:r>
        <w:rPr>
          <w:rFonts w:hint="eastAsia" w:ascii="黑体" w:hAnsi="黑体" w:eastAsia="黑体" w:cs="方正楷体_GBK"/>
          <w:bCs/>
          <w:color w:val="auto"/>
          <w:sz w:val="32"/>
          <w:szCs w:val="32"/>
        </w:rPr>
        <w:t>四、</w:t>
      </w:r>
      <w:r>
        <w:rPr>
          <w:rFonts w:hint="eastAsia" w:ascii="黑体" w:hAnsi="黑体" w:eastAsia="黑体" w:cs="方正楷体_GBK"/>
          <w:bCs/>
          <w:color w:val="auto"/>
          <w:sz w:val="32"/>
          <w:szCs w:val="32"/>
          <w:lang w:eastAsia="zh-CN"/>
        </w:rPr>
        <w:t>打造“四南四北”和供港圳品基地</w:t>
      </w:r>
    </w:p>
    <w:p w14:paraId="09D6583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color w:val="auto"/>
          <w:sz w:val="32"/>
          <w:szCs w:val="32"/>
          <w:lang w:eastAsia="zh-CN"/>
        </w:rPr>
        <w:t>充分利用运城多样性的地理气候条件和产业基础，创新现代农业发展形式，推进南粮北种、南菜北育、南果北栽、南鱼北养等，以“南种北繁”行动打造运城特色。重点推进旱稻、水稻、盐碱地水稻基地建设，推进设施火龙果、木瓜、香蕉等水果景观农业，推进空心菜、盖菜等有机叶菜种植繁育，推进盐碱水产养殖，使运城成为南方特色北方种植的特色基地；同时建立供港蔬菜、肉蛋、果品的生产基地，推进夏县、新绛、盐湖、万荣等基地建设，全部达到“圳品”标准要求，打响运城农业绿色有机品牌。</w:t>
      </w:r>
    </w:p>
    <w:p w14:paraId="1A795D0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lang w:eastAsia="zh-CN"/>
        </w:rPr>
        <w:t>五</w:t>
      </w:r>
      <w:r>
        <w:rPr>
          <w:rFonts w:hint="eastAsia" w:ascii="黑体" w:hAnsi="黑体" w:eastAsia="黑体" w:cs="方正楷体_GBK"/>
          <w:bCs/>
          <w:color w:val="auto"/>
          <w:sz w:val="32"/>
          <w:szCs w:val="32"/>
        </w:rPr>
        <w:t>、</w:t>
      </w:r>
      <w:r>
        <w:rPr>
          <w:rFonts w:hint="eastAsia" w:ascii="黑体" w:hAnsi="黑体" w:eastAsia="黑体" w:cs="方正楷体_GBK"/>
          <w:bCs/>
          <w:color w:val="auto"/>
          <w:sz w:val="32"/>
          <w:szCs w:val="32"/>
          <w:lang w:eastAsia="zh-CN"/>
        </w:rPr>
        <w:t>实施</w:t>
      </w:r>
      <w:r>
        <w:rPr>
          <w:rFonts w:hint="eastAsia" w:ascii="黑体" w:hAnsi="黑体" w:eastAsia="黑体" w:cs="方正楷体_GBK"/>
          <w:bCs/>
          <w:color w:val="auto"/>
          <w:sz w:val="32"/>
          <w:szCs w:val="32"/>
        </w:rPr>
        <w:t>有机旱作农业发展行动</w:t>
      </w:r>
      <w:bookmarkEnd w:id="123"/>
    </w:p>
    <w:p w14:paraId="30C5E1D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贯彻落实山西省《关于加快有机旱作农业发展的实施意见》，推动实施有机旱作农业行动，集成一批有机旱作农业技术模式，打造一批高效发展典型，创建一批优质特色品牌。通过实施“耕地质量提升、农水集约增效、旱作良种攻关、农技集成创新、农机配套融合</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绿色循环发展</w:t>
      </w:r>
      <w:r>
        <w:rPr>
          <w:rFonts w:hint="eastAsia" w:ascii="仿宋_GB2312" w:hAnsi="仿宋_GB2312" w:eastAsia="仿宋_GB2312" w:cs="仿宋_GB2312"/>
          <w:color w:val="auto"/>
          <w:sz w:val="32"/>
          <w:szCs w:val="32"/>
          <w:lang w:eastAsia="zh-CN"/>
        </w:rPr>
        <w:t>、保护性耕作、品牌建设、新型经营主体培育、信息化</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等十大</w:t>
      </w:r>
      <w:r>
        <w:rPr>
          <w:rFonts w:hint="eastAsia" w:ascii="仿宋_GB2312" w:hAnsi="仿宋_GB2312" w:eastAsia="仿宋_GB2312" w:cs="仿宋_GB2312"/>
          <w:color w:val="auto"/>
          <w:sz w:val="32"/>
          <w:szCs w:val="32"/>
        </w:rPr>
        <w:t>工程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率先在全省形成有机旱作农业产业体系、生产体系和经营体系，打造运城有机旱作农业全国示范样板。</w:t>
      </w:r>
    </w:p>
    <w:p w14:paraId="45EB803B">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重点工程：</w:t>
      </w:r>
    </w:p>
    <w:p w14:paraId="3168942F">
      <w:pPr>
        <w:keepNext w:val="0"/>
        <w:keepLines w:val="0"/>
        <w:pageBreakBefore w:val="0"/>
        <w:widowControl w:val="0"/>
        <w:numPr>
          <w:ilvl w:val="0"/>
          <w:numId w:val="0"/>
        </w:numPr>
        <w:kinsoku/>
        <w:wordWrap/>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1.</w:t>
      </w:r>
      <w:r>
        <w:rPr>
          <w:rFonts w:hint="eastAsia" w:ascii="楷体_GB2312" w:hAnsi="楷体_GB2312" w:eastAsia="楷体_GB2312" w:cs="楷体_GB2312"/>
          <w:color w:val="auto"/>
          <w:sz w:val="32"/>
          <w:szCs w:val="32"/>
        </w:rPr>
        <w:t>耕地质量提升工程。</w:t>
      </w:r>
      <w:r>
        <w:rPr>
          <w:rFonts w:hint="eastAsia" w:ascii="仿宋_GB2312" w:hAnsi="仿宋_GB2312" w:eastAsia="仿宋_GB2312" w:cs="仿宋_GB2312"/>
          <w:color w:val="auto"/>
          <w:sz w:val="32"/>
          <w:szCs w:val="32"/>
        </w:rPr>
        <w:t>在山地旱垣区通过平田整地、整修地埂、加厚</w:t>
      </w:r>
      <w:r>
        <w:rPr>
          <w:rFonts w:hint="eastAsia" w:ascii="仿宋_GB2312" w:hAnsi="仿宋_GB2312" w:eastAsia="仿宋_GB2312" w:cs="仿宋_GB2312"/>
          <w:color w:val="auto"/>
          <w:sz w:val="32"/>
          <w:szCs w:val="32"/>
          <w:lang w:eastAsia="zh-CN"/>
        </w:rPr>
        <w:t>耕作</w:t>
      </w:r>
      <w:r>
        <w:rPr>
          <w:rFonts w:hint="eastAsia" w:ascii="仿宋_GB2312" w:hAnsi="仿宋_GB2312" w:eastAsia="仿宋_GB2312" w:cs="仿宋_GB2312"/>
          <w:color w:val="auto"/>
          <w:sz w:val="32"/>
          <w:szCs w:val="32"/>
        </w:rPr>
        <w:t>层、建设田间林网，提升土壤蓄水蓄肥能力。通过配方施肥、增施绿肥</w:t>
      </w:r>
      <w:r>
        <w:rPr>
          <w:rFonts w:hint="eastAsia" w:ascii="仿宋_GB2312" w:hAnsi="仿宋_GB2312" w:eastAsia="仿宋_GB2312" w:cs="仿宋_GB2312"/>
          <w:color w:val="auto"/>
          <w:sz w:val="32"/>
          <w:szCs w:val="32"/>
          <w:lang w:eastAsia="zh-CN"/>
        </w:rPr>
        <w:t>、秸</w:t>
      </w:r>
      <w:r>
        <w:rPr>
          <w:rFonts w:hint="eastAsia" w:ascii="仿宋_GB2312" w:hAnsi="仿宋_GB2312" w:eastAsia="仿宋_GB2312" w:cs="仿宋_GB2312"/>
          <w:color w:val="auto"/>
          <w:sz w:val="32"/>
          <w:szCs w:val="32"/>
        </w:rPr>
        <w:t>杆还田</w:t>
      </w:r>
      <w:r>
        <w:rPr>
          <w:rFonts w:hint="eastAsia" w:ascii="仿宋_GB2312" w:hAnsi="仿宋_GB2312" w:eastAsia="仿宋_GB2312" w:cs="仿宋_GB2312"/>
          <w:color w:val="auto"/>
          <w:sz w:val="32"/>
          <w:szCs w:val="32"/>
          <w:lang w:eastAsia="zh-CN"/>
        </w:rPr>
        <w:t>等措施</w:t>
      </w:r>
      <w:r>
        <w:rPr>
          <w:rFonts w:hint="eastAsia" w:ascii="仿宋_GB2312" w:hAnsi="仿宋_GB2312" w:eastAsia="仿宋_GB2312" w:cs="仿宋_GB2312"/>
          <w:color w:val="auto"/>
          <w:sz w:val="32"/>
          <w:szCs w:val="32"/>
        </w:rPr>
        <w:t>培肥地力。</w:t>
      </w:r>
      <w:r>
        <w:rPr>
          <w:rFonts w:hint="eastAsia" w:ascii="仿宋_GB2312" w:hAnsi="仿宋_GB2312" w:eastAsia="仿宋_GB2312" w:cs="仿宋_GB2312"/>
          <w:color w:val="auto"/>
          <w:sz w:val="32"/>
          <w:szCs w:val="32"/>
          <w:lang w:val="en-US" w:eastAsia="zh-CN"/>
        </w:rPr>
        <w:t xml:space="preserve"> </w:t>
      </w:r>
    </w:p>
    <w:p w14:paraId="417EBF35">
      <w:pPr>
        <w:keepNext w:val="0"/>
        <w:keepLines w:val="0"/>
        <w:pageBreakBefore w:val="0"/>
        <w:widowControl w:val="0"/>
        <w:numPr>
          <w:ilvl w:val="0"/>
          <w:numId w:val="0"/>
        </w:numPr>
        <w:kinsoku/>
        <w:wordWrap/>
        <w:topLinePunct w:val="0"/>
        <w:autoSpaceDE/>
        <w:autoSpaceDN/>
        <w:bidi w:val="0"/>
        <w:spacing w:line="650" w:lineRule="exact"/>
        <w:ind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2.农水集约增效工程。</w:t>
      </w:r>
      <w:r>
        <w:rPr>
          <w:rFonts w:hint="eastAsia" w:ascii="仿宋_GB2312" w:hAnsi="仿宋_GB2312" w:eastAsia="仿宋_GB2312" w:cs="仿宋_GB2312"/>
          <w:color w:val="auto"/>
          <w:sz w:val="32"/>
          <w:szCs w:val="32"/>
        </w:rPr>
        <w:t>实施集约高效节水措施和用水制度，通过集雨工程，提高自然降水利用率。充分利用引黄工程，提升灌区覆盖能力，大力发展节水农业，加强灌区末级渠系和田间灌溉管路配套节水工程，实行水肥一体化。</w:t>
      </w:r>
    </w:p>
    <w:p w14:paraId="3D675B6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3.旱作良种攻关工程。</w:t>
      </w:r>
      <w:r>
        <w:rPr>
          <w:rFonts w:hint="eastAsia" w:ascii="仿宋_GB2312" w:hAnsi="仿宋_GB2312" w:eastAsia="仿宋_GB2312" w:cs="仿宋_GB2312"/>
          <w:color w:val="auto"/>
          <w:sz w:val="32"/>
          <w:szCs w:val="32"/>
        </w:rPr>
        <w:t>集中力量开展抗旱品种技术攻关，加快抗旱节水新品种的选育推广应用。到2025年，全市小麦、玉米、旱地稻、蔬菜、杂粮等作物品种旱作水平普遍提高。</w:t>
      </w:r>
    </w:p>
    <w:p w14:paraId="0DE6FFF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4.农技集成创新工程。</w:t>
      </w:r>
      <w:r>
        <w:rPr>
          <w:rFonts w:hint="eastAsia" w:ascii="仿宋_GB2312" w:hAnsi="仿宋_GB2312" w:eastAsia="仿宋_GB2312" w:cs="仿宋_GB2312"/>
          <w:color w:val="auto"/>
          <w:sz w:val="32"/>
          <w:szCs w:val="32"/>
        </w:rPr>
        <w:t>加强有机旱作农业新农艺的试验研究，对</w:t>
      </w:r>
      <w:r>
        <w:rPr>
          <w:rFonts w:hint="eastAsia" w:ascii="仿宋_GB2312" w:hAnsi="仿宋_GB2312" w:eastAsia="仿宋_GB2312" w:cs="仿宋_GB2312"/>
          <w:color w:val="auto"/>
          <w:sz w:val="32"/>
          <w:szCs w:val="32"/>
          <w:lang w:eastAsia="zh-CN"/>
        </w:rPr>
        <w:t>小麦探墒沟播</w:t>
      </w:r>
      <w:r>
        <w:rPr>
          <w:rFonts w:hint="eastAsia" w:ascii="仿宋_GB2312" w:hAnsi="仿宋_GB2312" w:eastAsia="仿宋_GB2312" w:cs="仿宋_GB2312"/>
          <w:color w:val="auto"/>
          <w:sz w:val="32"/>
          <w:szCs w:val="32"/>
        </w:rPr>
        <w:t>、全膜双垄沟播、秸秆覆盖还田、轻简化栽培等技术进行总结研究，制定技术规程和操作标准，推出一批有机旱作农业新技术。</w:t>
      </w:r>
    </w:p>
    <w:p w14:paraId="37E592B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5.绿色循环发展工程。</w:t>
      </w:r>
      <w:r>
        <w:rPr>
          <w:rFonts w:hint="eastAsia" w:ascii="仿宋_GB2312" w:hAnsi="仿宋_GB2312" w:eastAsia="仿宋_GB2312" w:cs="仿宋_GB2312"/>
          <w:color w:val="auto"/>
          <w:sz w:val="32"/>
          <w:szCs w:val="32"/>
        </w:rPr>
        <w:t>推进农业废弃物资源化利用，探索休耕轮作制度，实施新一轮退耕还林还草，发展循环农业，实现废弃物处理资源化、资源利用节约化、生产过程清洁化、产业链接循环化。</w:t>
      </w:r>
      <w:bookmarkStart w:id="124" w:name="_Toc3195837"/>
      <w:bookmarkEnd w:id="124"/>
      <w:bookmarkStart w:id="125" w:name="_Toc3195398"/>
      <w:bookmarkEnd w:id="125"/>
      <w:bookmarkStart w:id="126" w:name="_Toc619"/>
      <w:bookmarkStart w:id="127" w:name="_Toc25460"/>
    </w:p>
    <w:p w14:paraId="03526357">
      <w:pPr>
        <w:pBdr>
          <w:bottom w:val="single" w:color="FFFFFF" w:sz="4" w:space="17"/>
        </w:pBdr>
        <w:tabs>
          <w:tab w:val="left" w:pos="4111"/>
        </w:tabs>
        <w:adjustRightInd w:val="0"/>
        <w:snapToGrid w:val="0"/>
        <w:spacing w:line="650" w:lineRule="exact"/>
        <w:ind w:firstLine="640" w:firstLineChars="200"/>
        <w:rPr>
          <w:rFonts w:ascii="楷体_GB2312" w:eastAsia="楷体_GB2312"/>
          <w:color w:val="auto"/>
          <w:sz w:val="32"/>
          <w:szCs w:val="32"/>
        </w:rPr>
      </w:pPr>
      <w:r>
        <w:rPr>
          <w:rFonts w:hint="eastAsia" w:ascii="楷体_GB2312" w:hAnsi="楷体_GB2312" w:eastAsia="楷体_GB2312" w:cs="楷体_GB2312"/>
          <w:color w:val="auto"/>
          <w:sz w:val="32"/>
          <w:szCs w:val="32"/>
          <w:lang w:val="en-US" w:eastAsia="zh-CN"/>
        </w:rPr>
        <w:t>6.</w:t>
      </w:r>
      <w:r>
        <w:rPr>
          <w:rFonts w:hint="eastAsia" w:ascii="楷体_GB2312" w:hAnsi="楷体_GB2312" w:eastAsia="楷体_GB2312" w:cs="楷体_GB2312"/>
          <w:color w:val="auto"/>
          <w:sz w:val="32"/>
          <w:szCs w:val="32"/>
        </w:rPr>
        <w:t>绿</w:t>
      </w:r>
      <w:r>
        <w:rPr>
          <w:rFonts w:hint="eastAsia" w:ascii="楷体_GB2312" w:eastAsia="楷体_GB2312"/>
          <w:bCs/>
          <w:snapToGrid w:val="0"/>
          <w:color w:val="auto"/>
          <w:kern w:val="0"/>
          <w:sz w:val="32"/>
          <w:szCs w:val="32"/>
        </w:rPr>
        <w:t>色循环发展工程</w:t>
      </w:r>
      <w:r>
        <w:rPr>
          <w:rFonts w:hint="default" w:ascii="楷体_GB2312" w:eastAsia="楷体_GB2312"/>
          <w:bCs/>
          <w:snapToGrid w:val="0"/>
          <w:color w:val="auto"/>
          <w:kern w:val="0"/>
          <w:sz w:val="32"/>
          <w:szCs w:val="32"/>
        </w:rPr>
        <w:t>。</w:t>
      </w:r>
      <w:r>
        <w:rPr>
          <w:rFonts w:hint="eastAsia" w:ascii="仿宋_GB2312" w:eastAsia="仿宋_GB2312"/>
          <w:color w:val="auto"/>
          <w:sz w:val="32"/>
          <w:szCs w:val="32"/>
        </w:rPr>
        <w:t>积极推动秸秆肥料化、饲料化、燃料化、基料化和原料化利用，加快秸秆综合利用技术及模式的复制推广。加大全生物降解地膜替代、机械回收、适时揭膜等农艺配套措施的示范推广力度，实施农膜回收利用示范项目，提高农膜回收率。建设省级高标准病虫绿色防控暨农药减量示范基地，辐射带动周边病虫绿色防控及农药减量增效技术的推广应用</w:t>
      </w:r>
    </w:p>
    <w:p w14:paraId="7BC70C3E">
      <w:pPr>
        <w:pBdr>
          <w:bottom w:val="single" w:color="FFFFFF" w:sz="4" w:space="17"/>
        </w:pBdr>
        <w:tabs>
          <w:tab w:val="left" w:pos="4111"/>
        </w:tabs>
        <w:adjustRightInd w:val="0"/>
        <w:snapToGrid w:val="0"/>
        <w:spacing w:line="650" w:lineRule="exact"/>
        <w:ind w:firstLine="640" w:firstLineChars="200"/>
        <w:rPr>
          <w:rFonts w:ascii="楷体_GB2312" w:eastAsia="楷体_GB2312"/>
          <w:color w:val="auto"/>
          <w:sz w:val="32"/>
          <w:szCs w:val="32"/>
        </w:rPr>
      </w:pPr>
      <w:r>
        <w:rPr>
          <w:rFonts w:hint="eastAsia" w:ascii="楷体_GB2312" w:hAnsi="楷体_GB2312" w:eastAsia="楷体_GB2312" w:cs="楷体_GB2312"/>
          <w:color w:val="auto"/>
          <w:sz w:val="32"/>
          <w:szCs w:val="32"/>
          <w:lang w:val="en-US" w:eastAsia="zh-CN"/>
        </w:rPr>
        <w:t>7.</w:t>
      </w:r>
      <w:r>
        <w:rPr>
          <w:rFonts w:hint="eastAsia" w:ascii="楷体_GB2312" w:eastAsia="楷体_GB2312"/>
          <w:bCs/>
          <w:snapToGrid w:val="0"/>
          <w:color w:val="auto"/>
          <w:kern w:val="0"/>
          <w:sz w:val="32"/>
          <w:szCs w:val="32"/>
        </w:rPr>
        <w:t>保护性耕作工程</w:t>
      </w:r>
      <w:r>
        <w:rPr>
          <w:rFonts w:hint="default" w:ascii="楷体_GB2312" w:eastAsia="楷体_GB2312"/>
          <w:bCs/>
          <w:snapToGrid w:val="0"/>
          <w:color w:val="auto"/>
          <w:kern w:val="0"/>
          <w:sz w:val="32"/>
          <w:szCs w:val="32"/>
        </w:rPr>
        <w:t>。</w:t>
      </w:r>
      <w:r>
        <w:rPr>
          <w:rFonts w:hint="eastAsia" w:ascii="仿宋_GB2312" w:eastAsia="仿宋_GB2312"/>
          <w:color w:val="auto"/>
          <w:sz w:val="32"/>
          <w:szCs w:val="32"/>
        </w:rPr>
        <w:t>巩固提升粮食产能、实现种地养地结合为目的，重点推广小麦与大豆轮作。实施以作物秸秆残茬覆盖地表、免少耕播种为主要内容的保护性耕作技术，实现保水、保土、保肥和节本增收，改善农业生态环境，带动农业可持续发展。</w:t>
      </w:r>
    </w:p>
    <w:p w14:paraId="11FCA582">
      <w:pPr>
        <w:pBdr>
          <w:bottom w:val="single" w:color="FFFFFF" w:sz="4" w:space="17"/>
        </w:pBdr>
        <w:tabs>
          <w:tab w:val="left" w:pos="4111"/>
        </w:tabs>
        <w:adjustRightInd w:val="0"/>
        <w:snapToGrid w:val="0"/>
        <w:spacing w:line="650" w:lineRule="exact"/>
        <w:ind w:firstLine="640" w:firstLineChars="200"/>
        <w:rPr>
          <w:rFonts w:ascii="楷体_GB2312" w:eastAsia="楷体_GB2312"/>
          <w:color w:val="auto"/>
          <w:sz w:val="32"/>
          <w:szCs w:val="32"/>
        </w:rPr>
      </w:pPr>
      <w:r>
        <w:rPr>
          <w:rFonts w:hint="eastAsia" w:ascii="楷体_GB2312" w:hAnsi="楷体_GB2312" w:eastAsia="楷体_GB2312" w:cs="楷体_GB2312"/>
          <w:color w:val="auto"/>
          <w:sz w:val="32"/>
          <w:szCs w:val="32"/>
          <w:lang w:val="en-US" w:eastAsia="zh-CN"/>
        </w:rPr>
        <w:t>8.</w:t>
      </w:r>
      <w:r>
        <w:rPr>
          <w:rFonts w:hint="eastAsia" w:ascii="楷体_GB2312" w:eastAsia="楷体_GB2312"/>
          <w:bCs/>
          <w:snapToGrid w:val="0"/>
          <w:color w:val="auto"/>
          <w:kern w:val="0"/>
          <w:sz w:val="32"/>
          <w:szCs w:val="32"/>
        </w:rPr>
        <w:t>品牌建设工程</w:t>
      </w:r>
      <w:r>
        <w:rPr>
          <w:rFonts w:hint="default" w:ascii="楷体_GB2312" w:eastAsia="楷体_GB2312"/>
          <w:bCs/>
          <w:snapToGrid w:val="0"/>
          <w:color w:val="auto"/>
          <w:kern w:val="0"/>
          <w:sz w:val="32"/>
          <w:szCs w:val="32"/>
        </w:rPr>
        <w:t>。</w:t>
      </w:r>
      <w:r>
        <w:rPr>
          <w:rFonts w:hint="eastAsia" w:ascii="仿宋_GB2312" w:eastAsia="仿宋_GB2312"/>
          <w:color w:val="auto"/>
          <w:sz w:val="32"/>
          <w:szCs w:val="32"/>
        </w:rPr>
        <w:t>推进“有机旱作农业+功能农业”标准化示范区建设，建立小麦、苹果等作物产前、产中、产后各环节的符合运城特色的有机旱作节水农业全产业链标准体系</w:t>
      </w:r>
      <w:r>
        <w:rPr>
          <w:rFonts w:hint="default" w:ascii="仿宋_GB2312" w:hAnsi="仿宋" w:eastAsia="仿宋_GB2312"/>
          <w:color w:val="auto"/>
          <w:sz w:val="32"/>
          <w:szCs w:val="32"/>
        </w:rPr>
        <w:t>。</w:t>
      </w:r>
      <w:r>
        <w:rPr>
          <w:rFonts w:hint="eastAsia" w:ascii="仿宋_GB2312" w:eastAsia="仿宋_GB2312"/>
          <w:color w:val="auto"/>
          <w:sz w:val="32"/>
          <w:szCs w:val="32"/>
        </w:rPr>
        <w:t>推动农产品品牌建设，抢抓国家实施粤港澳大湾区建设重大战略机遇，推进“圳品”创建。充分发挥大型电商平台优势，引导供销系统电商平台、社会电商企业与农产品生产企业、供应商、运营商开展产销对接，推动有机旱作农产品上网销售。</w:t>
      </w:r>
    </w:p>
    <w:p w14:paraId="7722ED79">
      <w:pPr>
        <w:pBdr>
          <w:bottom w:val="single" w:color="FFFFFF" w:sz="4" w:space="17"/>
        </w:pBdr>
        <w:tabs>
          <w:tab w:val="left" w:pos="4111"/>
        </w:tabs>
        <w:adjustRightInd w:val="0"/>
        <w:snapToGrid w:val="0"/>
        <w:spacing w:line="650" w:lineRule="exact"/>
        <w:ind w:firstLine="640" w:firstLineChars="200"/>
        <w:rPr>
          <w:rFonts w:hint="eastAsia" w:ascii="仿宋_GB2312" w:eastAsia="仿宋_GB2312"/>
          <w:color w:val="auto"/>
          <w:sz w:val="32"/>
          <w:szCs w:val="32"/>
        </w:rPr>
      </w:pPr>
      <w:r>
        <w:rPr>
          <w:rFonts w:hint="eastAsia" w:ascii="楷体_GB2312" w:hAnsi="楷体_GB2312" w:eastAsia="楷体_GB2312" w:cs="楷体_GB2312"/>
          <w:color w:val="auto"/>
          <w:sz w:val="32"/>
          <w:szCs w:val="32"/>
          <w:lang w:val="en-US" w:eastAsia="zh-CN"/>
        </w:rPr>
        <w:t>9.</w:t>
      </w:r>
      <w:r>
        <w:rPr>
          <w:rFonts w:hint="eastAsia" w:ascii="楷体_GB2312" w:hAnsi="楷体_GB2312" w:eastAsia="楷体_GB2312" w:cs="楷体_GB2312"/>
          <w:color w:val="auto"/>
          <w:sz w:val="32"/>
          <w:szCs w:val="32"/>
        </w:rPr>
        <w:t>新</w:t>
      </w:r>
      <w:r>
        <w:rPr>
          <w:rFonts w:hint="eastAsia" w:ascii="楷体_GB2312" w:eastAsia="楷体_GB2312"/>
          <w:bCs/>
          <w:snapToGrid w:val="0"/>
          <w:color w:val="auto"/>
          <w:kern w:val="0"/>
          <w:sz w:val="32"/>
          <w:szCs w:val="32"/>
        </w:rPr>
        <w:t>型经营主体培育工程</w:t>
      </w:r>
      <w:r>
        <w:rPr>
          <w:rFonts w:hint="default" w:ascii="楷体_GB2312" w:eastAsia="楷体_GB2312"/>
          <w:bCs/>
          <w:snapToGrid w:val="0"/>
          <w:color w:val="auto"/>
          <w:kern w:val="0"/>
          <w:sz w:val="32"/>
          <w:szCs w:val="32"/>
        </w:rPr>
        <w:t>。</w:t>
      </w:r>
      <w:r>
        <w:rPr>
          <w:rFonts w:hint="eastAsia" w:ascii="仿宋_GB2312" w:eastAsia="仿宋_GB2312"/>
          <w:color w:val="auto"/>
          <w:sz w:val="32"/>
          <w:szCs w:val="32"/>
        </w:rPr>
        <w:t>聚焦农产品精深加工产业集群发展，支持农业产业化龙头企业与有机旱作生产基地实行订单生产。制定新型农业经营主体培训计划，</w:t>
      </w:r>
      <w:r>
        <w:rPr>
          <w:rFonts w:hint="eastAsia" w:ascii="仿宋_GB2312" w:eastAsia="仿宋_GB2312"/>
          <w:color w:val="auto"/>
          <w:sz w:val="32"/>
          <w:szCs w:val="32"/>
          <w:lang w:eastAsia="zh-CN"/>
        </w:rPr>
        <w:t>培育</w:t>
      </w:r>
      <w:r>
        <w:rPr>
          <w:rFonts w:hint="eastAsia" w:ascii="仿宋_GB2312" w:eastAsia="仿宋_GB2312"/>
          <w:color w:val="auto"/>
          <w:sz w:val="32"/>
          <w:szCs w:val="32"/>
        </w:rPr>
        <w:t>新型经营主体成为带动有机旱作节水农业发展的生力军。</w:t>
      </w:r>
    </w:p>
    <w:p w14:paraId="3895E5FD">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黑体" w:hAnsi="黑体" w:eastAsia="黑体" w:cs="方正楷体_GBK"/>
          <w:bCs/>
          <w:color w:val="auto"/>
          <w:sz w:val="32"/>
          <w:szCs w:val="32"/>
          <w:lang w:eastAsia="zh-CN"/>
        </w:rPr>
      </w:pPr>
      <w:r>
        <w:rPr>
          <w:rFonts w:hint="eastAsia" w:ascii="楷体_GB2312" w:hAnsi="楷体_GB2312" w:eastAsia="楷体_GB2312" w:cs="楷体_GB2312"/>
          <w:color w:val="auto"/>
          <w:sz w:val="32"/>
          <w:szCs w:val="32"/>
          <w:lang w:val="en-US" w:eastAsia="zh-CN"/>
        </w:rPr>
        <w:t>10.</w:t>
      </w:r>
      <w:r>
        <w:rPr>
          <w:rFonts w:hint="eastAsia" w:ascii="楷体_GB2312" w:eastAsia="楷体_GB2312"/>
          <w:bCs/>
          <w:snapToGrid w:val="0"/>
          <w:color w:val="auto"/>
          <w:kern w:val="0"/>
          <w:sz w:val="32"/>
          <w:szCs w:val="32"/>
        </w:rPr>
        <w:t>信息化工程</w:t>
      </w:r>
      <w:r>
        <w:rPr>
          <w:rFonts w:hint="default" w:ascii="楷体_GB2312" w:eastAsia="楷体_GB2312"/>
          <w:bCs/>
          <w:snapToGrid w:val="0"/>
          <w:color w:val="auto"/>
          <w:kern w:val="0"/>
          <w:sz w:val="32"/>
          <w:szCs w:val="32"/>
        </w:rPr>
        <w:t>。</w:t>
      </w:r>
      <w:r>
        <w:rPr>
          <w:rFonts w:hint="eastAsia" w:ascii="仿宋_GB2312" w:eastAsia="仿宋_GB2312"/>
          <w:color w:val="auto"/>
          <w:spacing w:val="-4"/>
          <w:sz w:val="32"/>
          <w:szCs w:val="32"/>
        </w:rPr>
        <w:t>支持智能感知、智能分析、智能控制技术与装备率先在有机旱作节水农业科研和生产基地中集成应用，动态监测土壤墒情以及农作物的长势、灾情虫情等状态，实现智能信息化系统管理。</w:t>
      </w:r>
      <w:r>
        <w:rPr>
          <w:rFonts w:hint="eastAsia" w:ascii="仿宋_GB2312" w:eastAsia="仿宋_GB2312"/>
          <w:color w:val="auto"/>
          <w:sz w:val="32"/>
          <w:szCs w:val="32"/>
        </w:rPr>
        <w:t>支持有机旱作节水农业科研和生产基地率先建立农产品“身份证”制度，实现基地生产、农药残留检测等信息的全程可追溯。</w:t>
      </w:r>
      <w:bookmarkEnd w:id="126"/>
    </w:p>
    <w:p w14:paraId="3281411B">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仿宋_GB2312" w:hAnsi="仿宋_GB2312" w:eastAsia="仿宋_GB2312" w:cs="仿宋_GB2312"/>
          <w:color w:val="auto"/>
          <w:sz w:val="32"/>
          <w:szCs w:val="32"/>
        </w:rPr>
      </w:pPr>
      <w:r>
        <w:rPr>
          <w:rFonts w:hint="eastAsia" w:ascii="黑体" w:hAnsi="黑体" w:eastAsia="黑体" w:cs="方正楷体_GBK"/>
          <w:bCs/>
          <w:color w:val="auto"/>
          <w:sz w:val="32"/>
          <w:szCs w:val="32"/>
          <w:lang w:eastAsia="zh-CN"/>
        </w:rPr>
        <w:t>六</w:t>
      </w:r>
      <w:r>
        <w:rPr>
          <w:rFonts w:hint="eastAsia" w:ascii="黑体" w:hAnsi="黑体" w:eastAsia="黑体" w:cs="方正楷体_GBK"/>
          <w:bCs/>
          <w:color w:val="auto"/>
          <w:sz w:val="32"/>
          <w:szCs w:val="32"/>
        </w:rPr>
        <w:t>、加强农田水利基本设施建设</w:t>
      </w:r>
      <w:bookmarkEnd w:id="127"/>
    </w:p>
    <w:p w14:paraId="2DE46B82">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color w:val="auto"/>
          <w:sz w:val="32"/>
          <w:szCs w:val="32"/>
        </w:rPr>
        <w:t>大力实施国家农业综合开发项目和土地整理项目，充分利用黄河引水工程，扩大灌溉面积和水源保障，实施小水网建设、末级渠系配套工程建设，提高灌溉水利用系数，完善水、电、路等管网系统，提升灌渠防渗能力，配套节水灌溉设施，降低农业生产成本。到2025年，全市农业有效灌溉面积达690万亩，实现主要农田黄河引水灌溉基本全覆盖。</w:t>
      </w:r>
    </w:p>
    <w:p w14:paraId="57EDE4CA">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Times New Roman" w:hAnsi="Times New Roman" w:eastAsia="楷体_GB2312" w:cs="楷体_GB2312"/>
          <w:color w:val="auto"/>
          <w:sz w:val="32"/>
          <w:szCs w:val="32"/>
        </w:rPr>
      </w:pPr>
      <w:r>
        <w:rPr>
          <w:rFonts w:hint="eastAsia" w:ascii="仿宋_GB2312" w:hAnsi="仿宋_GB2312" w:eastAsia="仿宋_GB2312" w:cs="仿宋_GB2312"/>
          <w:b/>
          <w:color w:val="auto"/>
          <w:sz w:val="32"/>
          <w:szCs w:val="32"/>
        </w:rPr>
        <w:t>重点工程：</w:t>
      </w:r>
    </w:p>
    <w:p w14:paraId="77E21271">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Times New Roman" w:hAnsi="Times New Roman" w:eastAsia="楷体_GB2312" w:cs="楷体_GB2312"/>
          <w:color w:val="auto"/>
          <w:sz w:val="32"/>
          <w:szCs w:val="32"/>
        </w:rPr>
      </w:pPr>
      <w:r>
        <w:rPr>
          <w:rFonts w:hint="eastAsia" w:ascii="楷体_GB2312" w:hAnsi="楷体_GB2312" w:eastAsia="楷体_GB2312" w:cs="楷体_GB2312"/>
          <w:color w:val="auto"/>
          <w:sz w:val="32"/>
          <w:szCs w:val="32"/>
        </w:rPr>
        <w:t>1.高效节水灌溉工程。</w:t>
      </w:r>
      <w:r>
        <w:rPr>
          <w:rFonts w:hint="eastAsia" w:ascii="仿宋_GB2312" w:hAnsi="仿宋_GB2312" w:eastAsia="仿宋_GB2312" w:cs="仿宋_GB2312"/>
          <w:color w:val="auto"/>
          <w:sz w:val="32"/>
          <w:szCs w:val="32"/>
        </w:rPr>
        <w:t>加快芮城大禹渡灌区和平陆部官灌区工程建设，新增高效节水灌溉面积11.5万亩。</w:t>
      </w:r>
    </w:p>
    <w:p w14:paraId="7B78AC7E">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0"/>
        <w:textAlignment w:val="auto"/>
        <w:rPr>
          <w:rFonts w:hint="eastAsia" w:ascii="Times New Roman" w:hAnsi="Times New Roman" w:eastAsia="楷体_GB2312" w:cs="楷体_GB2312"/>
          <w:color w:val="auto"/>
          <w:sz w:val="32"/>
          <w:szCs w:val="32"/>
        </w:rPr>
      </w:pPr>
      <w:r>
        <w:rPr>
          <w:rFonts w:hint="eastAsia" w:ascii="楷体_GB2312" w:hAnsi="楷体_GB2312" w:eastAsia="楷体_GB2312" w:cs="楷体_GB2312"/>
          <w:color w:val="auto"/>
          <w:sz w:val="32"/>
          <w:szCs w:val="32"/>
        </w:rPr>
        <w:t>2.“五引”工程。</w:t>
      </w:r>
      <w:r>
        <w:rPr>
          <w:rFonts w:hint="eastAsia" w:ascii="仿宋_GB2312" w:hAnsi="仿宋_GB2312" w:eastAsia="仿宋_GB2312" w:cs="仿宋_GB2312"/>
          <w:color w:val="auto"/>
          <w:sz w:val="32"/>
          <w:szCs w:val="32"/>
        </w:rPr>
        <w:t>重点推进北赵引黄二期、小浪底引水、西范东扩、板涧河引水、部官引水“五引”工程，提高水资源优化配置能力。</w:t>
      </w:r>
    </w:p>
    <w:p w14:paraId="4463BC51">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beforeAutospacing="0" w:afterAutospacing="0" w:line="650" w:lineRule="exact"/>
        <w:ind w:left="0" w:leftChars="0" w:firstLine="640" w:firstLineChars="200"/>
        <w:jc w:val="both"/>
        <w:textAlignment w:val="auto"/>
        <w:rPr>
          <w:rFonts w:hint="eastAsia" w:ascii="黑体" w:hAnsi="黑体" w:eastAsia="黑体" w:cs="方正楷体_GBK"/>
          <w:bCs/>
          <w:color w:val="auto"/>
          <w:sz w:val="32"/>
          <w:szCs w:val="32"/>
          <w:lang w:eastAsia="zh-CN"/>
        </w:rPr>
      </w:pPr>
      <w:r>
        <w:rPr>
          <w:rFonts w:hint="eastAsia" w:ascii="楷体_GB2312" w:hAnsi="楷体_GB2312" w:eastAsia="楷体_GB2312" w:cs="楷体_GB2312"/>
          <w:color w:val="auto"/>
          <w:sz w:val="32"/>
          <w:szCs w:val="32"/>
        </w:rPr>
        <w:t>3.大中型灌区扩建改造工程。</w:t>
      </w:r>
      <w:r>
        <w:rPr>
          <w:rFonts w:hint="eastAsia" w:ascii="仿宋_GB2312" w:hAnsi="仿宋_GB2312" w:eastAsia="仿宋_GB2312" w:cs="仿宋_GB2312"/>
          <w:color w:val="auto"/>
          <w:sz w:val="32"/>
          <w:szCs w:val="32"/>
        </w:rPr>
        <w:t>推进实施尊村、大禹渡、夹马口等大中型灌区扩建、续建配套与节水改造、泵站更新改造、农田水利配套工程建设。</w:t>
      </w:r>
      <w:bookmarkStart w:id="128" w:name="_Toc23757"/>
    </w:p>
    <w:p w14:paraId="24077A2F">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黑体" w:hAnsi="黑体" w:eastAsia="黑体" w:cs="方正楷体_GBK"/>
          <w:bCs/>
          <w:color w:val="auto"/>
          <w:sz w:val="32"/>
          <w:szCs w:val="32"/>
          <w:lang w:eastAsia="zh-CN"/>
        </w:rPr>
        <w:t>七</w:t>
      </w:r>
      <w:r>
        <w:rPr>
          <w:rFonts w:hint="eastAsia" w:ascii="黑体" w:hAnsi="黑体" w:eastAsia="黑体" w:cs="方正楷体_GBK"/>
          <w:bCs/>
          <w:color w:val="auto"/>
          <w:sz w:val="32"/>
          <w:szCs w:val="32"/>
        </w:rPr>
        <w:t>、推进农业绿色化发展</w:t>
      </w:r>
      <w:bookmarkEnd w:id="128"/>
    </w:p>
    <w:p w14:paraId="2D52791C">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Times New Roman" w:hAnsi="Times New Roman" w:eastAsia="仿宋_GB2312" w:cs="仿宋_GB2312"/>
          <w:color w:val="auto"/>
          <w:sz w:val="32"/>
          <w:szCs w:val="32"/>
        </w:rPr>
      </w:pPr>
      <w:r>
        <w:rPr>
          <w:rFonts w:hint="eastAsia" w:ascii="仿宋_GB2312" w:hAnsi="仿宋" w:eastAsia="仿宋_GB2312" w:cs="仿宋"/>
          <w:color w:val="auto"/>
          <w:sz w:val="32"/>
          <w:szCs w:val="32"/>
          <w:lang w:eastAsia="zh-CN"/>
        </w:rPr>
        <w:t>实施受污染耕地安全利用。</w:t>
      </w:r>
      <w:r>
        <w:rPr>
          <w:rFonts w:hint="eastAsia" w:ascii="仿宋_GB2312" w:hAnsi="仿宋_GB2312" w:eastAsia="仿宋_GB2312" w:cs="仿宋_GB2312"/>
          <w:color w:val="auto"/>
          <w:sz w:val="32"/>
          <w:szCs w:val="32"/>
        </w:rPr>
        <w:t>鼓励采用现代生物、低毒高效农药、果菜防虫网等技术加强病虫害防控。开展</w:t>
      </w:r>
      <w:r>
        <w:rPr>
          <w:rFonts w:hint="eastAsia" w:ascii="仿宋_GB2312" w:hAnsi="仿宋_GB2312" w:eastAsia="仿宋_GB2312" w:cs="仿宋_GB2312"/>
          <w:color w:val="auto"/>
          <w:sz w:val="32"/>
          <w:szCs w:val="32"/>
          <w:lang w:eastAsia="zh-CN"/>
        </w:rPr>
        <w:t>化肥减量增效行动</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通过</w:t>
      </w:r>
      <w:r>
        <w:rPr>
          <w:rFonts w:hint="eastAsia" w:ascii="仿宋_GB2312" w:hAnsi="仿宋_GB2312" w:eastAsia="仿宋_GB2312" w:cs="仿宋_GB2312"/>
          <w:color w:val="auto"/>
          <w:sz w:val="32"/>
          <w:szCs w:val="32"/>
        </w:rPr>
        <w:t>化肥减量增效</w:t>
      </w:r>
      <w:r>
        <w:rPr>
          <w:rFonts w:hint="eastAsia" w:ascii="仿宋_GB2312" w:hAnsi="仿宋_GB2312" w:eastAsia="仿宋_GB2312" w:cs="仿宋_GB2312"/>
          <w:color w:val="auto"/>
          <w:sz w:val="32"/>
          <w:szCs w:val="32"/>
          <w:lang w:eastAsia="zh-CN"/>
        </w:rPr>
        <w:t>示范带动，</w:t>
      </w:r>
      <w:r>
        <w:rPr>
          <w:rFonts w:hint="eastAsia" w:ascii="仿宋_GB2312" w:hAnsi="仿宋_GB2312" w:eastAsia="仿宋_GB2312" w:cs="仿宋_GB2312"/>
          <w:color w:val="auto"/>
          <w:sz w:val="32"/>
          <w:szCs w:val="32"/>
        </w:rPr>
        <w:t>测土配</w:t>
      </w:r>
      <w:r>
        <w:rPr>
          <w:rFonts w:hint="eastAsia" w:ascii="仿宋_GB2312" w:hAnsi="仿宋_GB2312" w:eastAsia="仿宋_GB2312" w:cs="仿宋_GB2312"/>
          <w:color w:val="auto"/>
          <w:sz w:val="32"/>
          <w:szCs w:val="32"/>
          <w:lang w:eastAsia="zh-CN"/>
        </w:rPr>
        <w:t>方</w:t>
      </w:r>
      <w:r>
        <w:rPr>
          <w:rFonts w:hint="eastAsia" w:ascii="仿宋_GB2312" w:hAnsi="仿宋_GB2312" w:eastAsia="仿宋_GB2312" w:cs="仿宋_GB2312"/>
          <w:color w:val="auto"/>
          <w:sz w:val="32"/>
          <w:szCs w:val="32"/>
        </w:rPr>
        <w:t>施肥</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秸秆还田等技术推广应用，</w:t>
      </w:r>
      <w:r>
        <w:rPr>
          <w:rFonts w:hint="eastAsia" w:ascii="仿宋_GB2312" w:hAnsi="仿宋_GB2312" w:eastAsia="仿宋_GB2312" w:cs="仿宋_GB2312"/>
          <w:color w:val="auto"/>
          <w:sz w:val="32"/>
          <w:szCs w:val="32"/>
          <w:lang w:eastAsia="zh-CN"/>
        </w:rPr>
        <w:t>实现</w:t>
      </w:r>
      <w:r>
        <w:rPr>
          <w:rFonts w:hint="eastAsia" w:ascii="仿宋_GB2312" w:hAnsi="仿宋_GB2312" w:eastAsia="仿宋_GB2312" w:cs="仿宋_GB2312"/>
          <w:color w:val="auto"/>
          <w:sz w:val="32"/>
          <w:szCs w:val="32"/>
        </w:rPr>
        <w:t>农药化肥使用量</w:t>
      </w:r>
      <w:r>
        <w:rPr>
          <w:rFonts w:hint="eastAsia" w:ascii="仿宋_GB2312" w:hAnsi="仿宋_GB2312" w:eastAsia="仿宋_GB2312" w:cs="仿宋_GB2312"/>
          <w:color w:val="auto"/>
          <w:sz w:val="32"/>
          <w:szCs w:val="32"/>
          <w:lang w:eastAsia="zh-CN"/>
        </w:rPr>
        <w:t>继续消减</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加强</w:t>
      </w:r>
      <w:r>
        <w:rPr>
          <w:rFonts w:hint="eastAsia" w:ascii="仿宋_GB2312" w:hAnsi="仿宋_GB2312" w:eastAsia="仿宋_GB2312" w:cs="仿宋_GB2312"/>
          <w:color w:val="auto"/>
          <w:sz w:val="32"/>
          <w:szCs w:val="32"/>
        </w:rPr>
        <w:t>农业废弃物综合利用，推进生态循环农业发展，构建种植—养殖—牲畜粪尿综合利用的生态循环发展模式。到2025年，全市畜禽粪污资源化利用率达到9</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%以上，作物秸秆综合利用率</w:t>
      </w:r>
      <w:r>
        <w:rPr>
          <w:rFonts w:hint="eastAsia" w:ascii="仿宋_GB2312" w:hAnsi="仿宋_GB2312" w:eastAsia="仿宋_GB2312" w:cs="仿宋_GB2312"/>
          <w:color w:val="auto"/>
          <w:sz w:val="32"/>
          <w:szCs w:val="32"/>
          <w:lang w:val="en-US" w:eastAsia="zh-CN"/>
        </w:rPr>
        <w:t>稳定在90%以上</w:t>
      </w:r>
      <w:r>
        <w:rPr>
          <w:rFonts w:hint="eastAsia" w:ascii="仿宋_GB2312" w:hAnsi="仿宋_GB2312" w:eastAsia="仿宋_GB2312" w:cs="仿宋_GB2312"/>
          <w:color w:val="auto"/>
          <w:sz w:val="32"/>
          <w:szCs w:val="32"/>
        </w:rPr>
        <w:t>，废旧农膜回收率达到85%以上，反光</w:t>
      </w:r>
      <w:r>
        <w:rPr>
          <w:rFonts w:hint="eastAsia" w:ascii="Times New Roman" w:hAnsi="Times New Roman" w:eastAsia="仿宋_GB2312" w:cs="仿宋_GB2312"/>
          <w:color w:val="auto"/>
          <w:sz w:val="32"/>
          <w:szCs w:val="32"/>
        </w:rPr>
        <w:t>膜回收率达</w:t>
      </w:r>
      <w:r>
        <w:rPr>
          <w:rFonts w:hint="eastAsia" w:ascii="仿宋_GB2312" w:hAnsi="仿宋_GB2312" w:eastAsia="仿宋_GB2312" w:cs="仿宋_GB2312"/>
          <w:color w:val="auto"/>
          <w:sz w:val="32"/>
          <w:szCs w:val="32"/>
        </w:rPr>
        <w:t>到100%，</w:t>
      </w:r>
      <w:r>
        <w:rPr>
          <w:rFonts w:hint="eastAsia" w:ascii="Times New Roman" w:hAnsi="Times New Roman" w:eastAsia="仿宋_GB2312" w:cs="仿宋_GB2312"/>
          <w:color w:val="auto"/>
          <w:sz w:val="32"/>
          <w:szCs w:val="32"/>
        </w:rPr>
        <w:t>实现农业绿色化发展。</w:t>
      </w:r>
      <w:bookmarkStart w:id="129" w:name="_Toc16853"/>
    </w:p>
    <w:p w14:paraId="06A9C888">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黑体" w:hAnsi="黑体" w:eastAsia="黑体" w:cs="方正楷体_GBK"/>
          <w:bCs/>
          <w:color w:val="auto"/>
          <w:sz w:val="32"/>
          <w:szCs w:val="32"/>
          <w:lang w:eastAsia="zh-CN"/>
        </w:rPr>
        <w:t>八</w:t>
      </w:r>
      <w:r>
        <w:rPr>
          <w:rFonts w:hint="eastAsia" w:ascii="黑体" w:hAnsi="黑体" w:eastAsia="黑体" w:cs="方正楷体_GBK"/>
          <w:bCs/>
          <w:color w:val="auto"/>
          <w:sz w:val="32"/>
          <w:szCs w:val="32"/>
        </w:rPr>
        <w:t>、</w:t>
      </w:r>
      <w:r>
        <w:rPr>
          <w:rFonts w:hint="eastAsia" w:ascii="黑体" w:hAnsi="黑体" w:eastAsia="黑体" w:cs="方正楷体_GBK"/>
          <w:bCs/>
          <w:color w:val="auto"/>
          <w:sz w:val="32"/>
          <w:szCs w:val="32"/>
          <w:lang w:eastAsia="zh-CN"/>
        </w:rPr>
        <w:t>推进数字</w:t>
      </w:r>
      <w:r>
        <w:rPr>
          <w:rFonts w:hint="eastAsia" w:ascii="黑体" w:hAnsi="黑体" w:eastAsia="黑体" w:cs="方正楷体_GBK"/>
          <w:bCs/>
          <w:color w:val="auto"/>
          <w:sz w:val="32"/>
          <w:szCs w:val="32"/>
        </w:rPr>
        <w:t>农业建设</w:t>
      </w:r>
      <w:bookmarkEnd w:id="129"/>
      <w:bookmarkStart w:id="130" w:name="_Toc458959513"/>
      <w:bookmarkEnd w:id="130"/>
      <w:bookmarkStart w:id="131" w:name="_Toc458961070"/>
      <w:bookmarkEnd w:id="131"/>
      <w:bookmarkStart w:id="132" w:name="_Toc520647589"/>
      <w:bookmarkEnd w:id="132"/>
      <w:bookmarkStart w:id="133" w:name="_Toc458961069"/>
      <w:bookmarkEnd w:id="133"/>
      <w:bookmarkStart w:id="134" w:name="_Toc458959514"/>
      <w:bookmarkEnd w:id="134"/>
      <w:bookmarkStart w:id="135" w:name="_Toc458787772"/>
      <w:bookmarkEnd w:id="135"/>
      <w:bookmarkStart w:id="136" w:name="_Toc520647590"/>
    </w:p>
    <w:p w14:paraId="10B63257">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仿宋_GB2312" w:hAnsi="仿宋_GB2312" w:eastAsia="仿宋_GB2312" w:cs="仿宋_GB2312"/>
          <w:b/>
          <w:color w:val="auto"/>
          <w:sz w:val="32"/>
          <w:szCs w:val="32"/>
        </w:rPr>
      </w:pPr>
      <w:r>
        <w:rPr>
          <w:rFonts w:hint="eastAsia" w:ascii="仿宋_GB2312" w:hAnsi="仿宋_GB2312" w:eastAsia="仿宋_GB2312" w:cs="仿宋_GB2312"/>
          <w:color w:val="auto"/>
          <w:sz w:val="32"/>
          <w:szCs w:val="32"/>
        </w:rPr>
        <w:t>大力推进智慧城乡、智慧农业、智慧旅游、智慧物流等现代信息服务体系建设。</w:t>
      </w:r>
      <w:bookmarkEnd w:id="136"/>
      <w:bookmarkStart w:id="137" w:name="_Toc458961071"/>
      <w:bookmarkEnd w:id="137"/>
      <w:bookmarkStart w:id="138" w:name="_Toc458787773"/>
      <w:bookmarkEnd w:id="138"/>
      <w:bookmarkStart w:id="139" w:name="_Toc458959515"/>
      <w:bookmarkEnd w:id="139"/>
      <w:r>
        <w:rPr>
          <w:rFonts w:hint="eastAsia" w:ascii="仿宋_GB2312" w:hAnsi="仿宋_GB2312" w:eastAsia="仿宋_GB2312" w:cs="仿宋_GB2312"/>
          <w:color w:val="auto"/>
          <w:sz w:val="32"/>
          <w:szCs w:val="32"/>
        </w:rPr>
        <w:t>建设一批有影响力的地方特色农业网站，为农民提供方便快捷的农产品生产远程监控指导系统和农产品市场监测预警系统等服务，推动实现农业生产、采摘收获、贮藏加工、市场销售全程信息化</w:t>
      </w:r>
      <w:bookmarkStart w:id="140" w:name="_Toc458959518"/>
      <w:bookmarkEnd w:id="140"/>
      <w:bookmarkStart w:id="141" w:name="_Toc458787776"/>
      <w:bookmarkEnd w:id="141"/>
      <w:bookmarkStart w:id="142" w:name="_Toc458961074"/>
      <w:bookmarkEnd w:id="142"/>
      <w:r>
        <w:rPr>
          <w:rFonts w:hint="eastAsia" w:ascii="仿宋_GB2312" w:hAnsi="仿宋_GB2312" w:eastAsia="仿宋_GB2312" w:cs="仿宋_GB2312"/>
          <w:color w:val="auto"/>
          <w:sz w:val="32"/>
          <w:szCs w:val="32"/>
        </w:rPr>
        <w:t>。</w:t>
      </w:r>
      <w:bookmarkStart w:id="143" w:name="_Toc458959519"/>
      <w:bookmarkEnd w:id="143"/>
      <w:bookmarkStart w:id="144" w:name="_Toc520647592"/>
      <w:bookmarkEnd w:id="144"/>
      <w:bookmarkStart w:id="145" w:name="_Toc458787777"/>
      <w:bookmarkEnd w:id="145"/>
      <w:bookmarkStart w:id="146" w:name="_Toc458961075"/>
    </w:p>
    <w:p w14:paraId="0716D255">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3" w:firstLineChars="200"/>
        <w:textAlignment w:val="auto"/>
        <w:rPr>
          <w:rFonts w:hint="eastAsia" w:ascii="Times New Roman" w:hAnsi="Times New Roman" w:eastAsia="楷体_GB2312" w:cs="楷体_GB2312"/>
          <w:color w:val="auto"/>
          <w:sz w:val="32"/>
          <w:szCs w:val="32"/>
        </w:rPr>
      </w:pPr>
      <w:r>
        <w:rPr>
          <w:rFonts w:hint="eastAsia" w:ascii="仿宋_GB2312" w:hAnsi="仿宋_GB2312" w:eastAsia="仿宋_GB2312" w:cs="仿宋_GB2312"/>
          <w:b/>
          <w:color w:val="auto"/>
          <w:sz w:val="32"/>
          <w:szCs w:val="32"/>
        </w:rPr>
        <w:t>重点工程</w:t>
      </w:r>
      <w:bookmarkEnd w:id="146"/>
      <w:r>
        <w:rPr>
          <w:rFonts w:hint="eastAsia" w:ascii="仿宋_GB2312" w:hAnsi="仿宋_GB2312" w:eastAsia="仿宋_GB2312" w:cs="仿宋_GB2312"/>
          <w:b/>
          <w:color w:val="auto"/>
          <w:sz w:val="32"/>
          <w:szCs w:val="32"/>
        </w:rPr>
        <w:t>：</w:t>
      </w:r>
    </w:p>
    <w:p w14:paraId="2D62E5BE">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Times New Roman" w:hAnsi="Times New Roman" w:eastAsia="仿宋_GB2312" w:cs="仿宋_GB2312"/>
          <w:color w:val="auto"/>
          <w:sz w:val="32"/>
          <w:szCs w:val="32"/>
        </w:rPr>
      </w:pPr>
      <w:r>
        <w:rPr>
          <w:rFonts w:hint="eastAsia" w:ascii="楷体_GB2312" w:hAnsi="楷体_GB2312" w:eastAsia="楷体_GB2312" w:cs="楷体_GB2312"/>
          <w:color w:val="auto"/>
          <w:sz w:val="32"/>
          <w:szCs w:val="32"/>
        </w:rPr>
        <w:t>1.农业信息化工程建设。</w:t>
      </w:r>
      <w:r>
        <w:rPr>
          <w:rFonts w:hint="eastAsia" w:ascii="仿宋_GB2312" w:hAnsi="仿宋_GB2312" w:eastAsia="仿宋_GB2312" w:cs="仿宋_GB2312"/>
          <w:color w:val="auto"/>
          <w:sz w:val="32"/>
          <w:szCs w:val="32"/>
        </w:rPr>
        <w:t>实施农业信息服务全覆盖工程，加强农业信息服务、农产品电子商务、农业物联网示范工程、农业信息服务体系、农业农村信息技术人才培训等五方面工作，扩展农业信息服务功能，提升农业信息化服务服务水平。</w:t>
      </w:r>
    </w:p>
    <w:p w14:paraId="31D970C2">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Times New Roman" w:hAnsi="Times New Roman" w:eastAsia="楷体_GB2312" w:cs="楷体_GB2312"/>
          <w:color w:val="auto"/>
          <w:sz w:val="32"/>
          <w:szCs w:val="32"/>
        </w:rPr>
      </w:pPr>
      <w:r>
        <w:rPr>
          <w:rFonts w:hint="eastAsia" w:ascii="楷体_GB2312" w:hAnsi="楷体_GB2312" w:eastAsia="楷体_GB2312" w:cs="楷体_GB2312"/>
          <w:color w:val="auto"/>
          <w:sz w:val="32"/>
          <w:szCs w:val="32"/>
        </w:rPr>
        <w:t>2.</w:t>
      </w:r>
      <w:r>
        <w:rPr>
          <w:rFonts w:hint="eastAsia" w:ascii="楷体_GB2312" w:hAnsi="楷体_GB2312" w:eastAsia="楷体_GB2312" w:cs="楷体_GB2312"/>
          <w:color w:val="auto"/>
          <w:sz w:val="32"/>
          <w:szCs w:val="32"/>
          <w:lang w:eastAsia="zh-CN"/>
        </w:rPr>
        <w:t>农业大数据</w:t>
      </w:r>
      <w:r>
        <w:rPr>
          <w:rFonts w:hint="eastAsia" w:ascii="楷体_GB2312" w:hAnsi="楷体_GB2312" w:eastAsia="楷体_GB2312" w:cs="楷体_GB2312"/>
          <w:color w:val="auto"/>
          <w:sz w:val="32"/>
          <w:szCs w:val="32"/>
        </w:rPr>
        <w:t>建设工程。</w:t>
      </w:r>
      <w:r>
        <w:rPr>
          <w:rFonts w:hint="eastAsia" w:ascii="仿宋_GB2312" w:hAnsi="仿宋_GB2312" w:eastAsia="仿宋_GB2312" w:cs="仿宋_GB2312"/>
          <w:color w:val="auto"/>
          <w:sz w:val="32"/>
          <w:szCs w:val="32"/>
        </w:rPr>
        <w:t>加快建立市级农业农村大数据中心，实现与省级系统互联互通、资源共建共享、业务协作协同。全面开展小麦、水果、蔬菜、畜禽养殖、中药材等单品种全产业链大数据建设。到2025年，全市农业农村大数据体系基本建立，农业农村大数据与农业产业、乡村振兴实现全面深度融合。</w:t>
      </w:r>
    </w:p>
    <w:p w14:paraId="19D54C26">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黑体" w:hAnsi="黑体" w:eastAsia="黑体" w:cs="方正楷体_GBK"/>
          <w:bCs/>
          <w:color w:val="auto"/>
          <w:sz w:val="32"/>
          <w:szCs w:val="32"/>
          <w:lang w:eastAsia="zh-CN"/>
        </w:rPr>
      </w:pPr>
      <w:r>
        <w:rPr>
          <w:rFonts w:hint="eastAsia" w:ascii="楷体_GB2312" w:hAnsi="楷体_GB2312" w:eastAsia="楷体_GB2312" w:cs="楷体_GB2312"/>
          <w:color w:val="auto"/>
          <w:sz w:val="32"/>
          <w:szCs w:val="32"/>
        </w:rPr>
        <w:t>3.农业物联网建设工程。</w:t>
      </w:r>
      <w:r>
        <w:rPr>
          <w:rFonts w:hint="eastAsia" w:ascii="仿宋_GB2312" w:hAnsi="仿宋_GB2312" w:eastAsia="仿宋_GB2312" w:cs="仿宋_GB2312"/>
          <w:color w:val="auto"/>
          <w:sz w:val="32"/>
          <w:szCs w:val="32"/>
        </w:rPr>
        <w:t>推进“物联网+农业”建设，熟化一批农业物联网关键技术和成套设备，推广一批节本增效农业物联网应用模式。到2025年，在全市建设农业物联网示范基地</w:t>
      </w:r>
      <w:r>
        <w:rPr>
          <w:rFonts w:hint="eastAsia" w:ascii="仿宋_GB2312" w:hAnsi="仿宋_GB2312" w:eastAsia="仿宋_GB2312" w:cs="仿宋_GB2312"/>
          <w:color w:val="auto"/>
          <w:sz w:val="32"/>
          <w:szCs w:val="32"/>
          <w:lang w:val="en-US" w:eastAsia="zh-CN"/>
        </w:rPr>
        <w:t>40个以上</w:t>
      </w:r>
      <w:r>
        <w:rPr>
          <w:rFonts w:hint="eastAsia" w:ascii="仿宋_GB2312" w:hAnsi="仿宋_GB2312" w:eastAsia="仿宋_GB2312" w:cs="仿宋_GB2312"/>
          <w:color w:val="auto"/>
          <w:sz w:val="32"/>
          <w:szCs w:val="32"/>
        </w:rPr>
        <w:t>，形成1-2个农业物联网试验示范区，实现100家农业龙头企业及合作社网上直销。</w:t>
      </w:r>
      <w:bookmarkStart w:id="147" w:name="_Toc520647597"/>
      <w:bookmarkEnd w:id="147"/>
      <w:bookmarkStart w:id="148" w:name="_Toc3822"/>
    </w:p>
    <w:p w14:paraId="31EFA9EA">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黑体" w:hAnsi="黑体" w:eastAsia="黑体" w:cs="方正楷体_GBK"/>
          <w:bCs/>
          <w:color w:val="auto"/>
          <w:sz w:val="32"/>
          <w:szCs w:val="32"/>
          <w:lang w:eastAsia="zh-CN"/>
        </w:rPr>
        <w:t>九</w:t>
      </w:r>
      <w:r>
        <w:rPr>
          <w:rFonts w:hint="eastAsia" w:ascii="黑体" w:hAnsi="黑体" w:eastAsia="黑体" w:cs="方正楷体_GBK"/>
          <w:bCs/>
          <w:color w:val="auto"/>
          <w:sz w:val="32"/>
          <w:szCs w:val="32"/>
        </w:rPr>
        <w:t>、培育</w:t>
      </w:r>
      <w:r>
        <w:rPr>
          <w:rFonts w:hint="eastAsia" w:ascii="黑体" w:hAnsi="黑体" w:eastAsia="黑体" w:cs="方正楷体_GBK"/>
          <w:bCs/>
          <w:color w:val="auto"/>
          <w:sz w:val="32"/>
          <w:szCs w:val="32"/>
          <w:lang w:eastAsia="zh-CN"/>
        </w:rPr>
        <w:t>高素质</w:t>
      </w:r>
      <w:r>
        <w:rPr>
          <w:rFonts w:hint="eastAsia" w:ascii="黑体" w:hAnsi="黑体" w:eastAsia="黑体" w:cs="方正楷体_GBK"/>
          <w:bCs/>
          <w:color w:val="auto"/>
          <w:sz w:val="32"/>
          <w:szCs w:val="32"/>
        </w:rPr>
        <w:t>农民</w:t>
      </w:r>
      <w:bookmarkEnd w:id="148"/>
    </w:p>
    <w:p w14:paraId="55D58363">
      <w:pPr>
        <w:keepNext w:val="0"/>
        <w:keepLines w:val="0"/>
        <w:pageBreakBefore w:val="0"/>
        <w:widowControl w:val="0"/>
        <w:pBdr>
          <w:bottom w:val="single" w:color="FFFFFF" w:sz="4" w:space="17"/>
        </w:pBdr>
        <w:tabs>
          <w:tab w:val="left" w:pos="4111"/>
        </w:tabs>
        <w:kinsoku/>
        <w:wordWrap/>
        <w:topLinePunct w:val="0"/>
        <w:autoSpaceDE/>
        <w:autoSpaceDN/>
        <w:bidi w:val="0"/>
        <w:adjustRightInd w:val="0"/>
        <w:snapToGrid w:val="0"/>
        <w:spacing w:line="660" w:lineRule="exact"/>
        <w:ind w:left="0" w:leftChars="0" w:firstLine="640" w:firstLineChars="200"/>
        <w:textAlignment w:val="auto"/>
        <w:rPr>
          <w:rFonts w:ascii="仿宋" w:hAnsi="仿宋" w:eastAsia="仿宋" w:cs="仿宋"/>
          <w:color w:val="auto"/>
          <w:sz w:val="32"/>
          <w:szCs w:val="32"/>
        </w:rPr>
      </w:pPr>
      <w:r>
        <w:rPr>
          <w:rFonts w:hint="eastAsia" w:ascii="仿宋_GB2312" w:hAnsi="仿宋_GB2312" w:eastAsia="仿宋_GB2312" w:cs="仿宋_GB2312"/>
          <w:color w:val="auto"/>
          <w:sz w:val="32"/>
          <w:szCs w:val="32"/>
        </w:rPr>
        <w:t>实施</w:t>
      </w:r>
      <w:r>
        <w:rPr>
          <w:rFonts w:hint="eastAsia" w:ascii="仿宋_GB2312" w:hAnsi="仿宋_GB2312" w:eastAsia="仿宋_GB2312" w:cs="仿宋_GB2312"/>
          <w:color w:val="auto"/>
          <w:sz w:val="32"/>
          <w:szCs w:val="32"/>
          <w:lang w:eastAsia="zh-CN"/>
        </w:rPr>
        <w:t>高素质</w:t>
      </w:r>
      <w:r>
        <w:rPr>
          <w:rFonts w:hint="eastAsia" w:ascii="仿宋_GB2312" w:hAnsi="仿宋_GB2312" w:eastAsia="仿宋_GB2312" w:cs="仿宋_GB2312"/>
          <w:color w:val="auto"/>
          <w:sz w:val="32"/>
          <w:szCs w:val="32"/>
        </w:rPr>
        <w:t>农民培育工程。按照“科教兴农、人才强农、新型职业农民固农”的总体要求，以“提高农民综合素质，提升农民生产技能，助推农业农村发展，助力农民收入增加”为目标，以“精细培训、精准培育、严格认定、动态管理”的培育模式和“政策扶持、项目支撑、资金保障、协调推进”的支撑模式，加快培育一批具有一定市场意识，懂经营、会管理、</w:t>
      </w:r>
      <w:r>
        <w:rPr>
          <w:rFonts w:hint="eastAsia" w:ascii="仿宋_GB2312" w:hAnsi="仿宋_GB2312" w:eastAsia="仿宋_GB2312" w:cs="仿宋_GB2312"/>
          <w:color w:val="auto"/>
          <w:spacing w:val="-6"/>
          <w:sz w:val="32"/>
          <w:szCs w:val="32"/>
        </w:rPr>
        <w:t>有技术的新型职业农民，全面推进农村劳动力向产业工人转变、向技能型新型职业农民转变。全市每年培训</w:t>
      </w:r>
      <w:r>
        <w:rPr>
          <w:rFonts w:hint="eastAsia" w:ascii="仿宋_GB2312" w:hAnsi="仿宋_GB2312" w:eastAsia="仿宋_GB2312" w:cs="仿宋_GB2312"/>
          <w:color w:val="auto"/>
          <w:spacing w:val="-6"/>
          <w:sz w:val="32"/>
          <w:szCs w:val="32"/>
          <w:lang w:eastAsia="zh-CN"/>
        </w:rPr>
        <w:t>高素</w:t>
      </w:r>
      <w:r>
        <w:rPr>
          <w:rFonts w:hint="eastAsia" w:ascii="仿宋_GB2312" w:hAnsi="仿宋_GB2312" w:eastAsia="仿宋_GB2312" w:cs="仿宋_GB2312"/>
          <w:color w:val="auto"/>
          <w:spacing w:val="0"/>
          <w:sz w:val="32"/>
          <w:szCs w:val="32"/>
          <w:lang w:eastAsia="zh-CN"/>
        </w:rPr>
        <w:t>质</w:t>
      </w:r>
      <w:r>
        <w:rPr>
          <w:rFonts w:hint="eastAsia" w:ascii="仿宋_GB2312" w:hAnsi="仿宋_GB2312" w:eastAsia="仿宋_GB2312" w:cs="仿宋_GB2312"/>
          <w:color w:val="auto"/>
          <w:spacing w:val="0"/>
          <w:sz w:val="32"/>
          <w:szCs w:val="32"/>
        </w:rPr>
        <w:t>农民10000人</w:t>
      </w:r>
      <w:r>
        <w:rPr>
          <w:rFonts w:hint="eastAsia" w:ascii="仿宋_GB2312" w:hAnsi="仿宋_GB2312" w:eastAsia="仿宋_GB2312" w:cs="仿宋_GB2312"/>
          <w:color w:val="auto"/>
          <w:spacing w:val="-6"/>
          <w:sz w:val="32"/>
          <w:szCs w:val="32"/>
        </w:rPr>
        <w:t>。</w:t>
      </w:r>
    </w:p>
    <w:p w14:paraId="0ED63CD6">
      <w:pPr>
        <w:keepNext w:val="0"/>
        <w:keepLines w:val="0"/>
        <w:pageBreakBefore w:val="0"/>
        <w:widowControl w:val="0"/>
        <w:kinsoku/>
        <w:wordWrap/>
        <w:topLinePunct w:val="0"/>
        <w:autoSpaceDE/>
        <w:autoSpaceDN/>
        <w:bidi w:val="0"/>
        <w:spacing w:line="660" w:lineRule="exact"/>
        <w:jc w:val="center"/>
        <w:textAlignment w:val="auto"/>
        <w:outlineLvl w:val="1"/>
        <w:rPr>
          <w:rFonts w:hint="eastAsia" w:ascii="楷体_GB2312" w:hAnsi="楷体_GB2312" w:eastAsia="楷体_GB2312" w:cs="楷体_GB2312"/>
          <w:bCs/>
          <w:color w:val="auto"/>
          <w:sz w:val="32"/>
          <w:szCs w:val="32"/>
        </w:rPr>
      </w:pPr>
      <w:bookmarkStart w:id="149" w:name="_Toc520647602"/>
      <w:bookmarkEnd w:id="149"/>
      <w:bookmarkStart w:id="150" w:name="_Toc9411"/>
      <w:r>
        <w:rPr>
          <w:rFonts w:hint="eastAsia" w:ascii="楷体_GB2312" w:hAnsi="楷体_GB2312" w:eastAsia="楷体_GB2312" w:cs="楷体_GB2312"/>
          <w:bCs/>
          <w:color w:val="auto"/>
          <w:sz w:val="32"/>
          <w:szCs w:val="32"/>
        </w:rPr>
        <w:t>第四节  创新农业经营体系</w:t>
      </w:r>
      <w:bookmarkEnd w:id="150"/>
    </w:p>
    <w:p w14:paraId="40FCDB84">
      <w:pPr>
        <w:keepNext w:val="0"/>
        <w:keepLines w:val="0"/>
        <w:pageBreakBefore w:val="0"/>
        <w:widowControl w:val="0"/>
        <w:kinsoku/>
        <w:wordWrap/>
        <w:topLinePunct w:val="0"/>
        <w:autoSpaceDE/>
        <w:autoSpaceDN/>
        <w:bidi w:val="0"/>
        <w:spacing w:line="660" w:lineRule="exact"/>
        <w:ind w:left="0" w:leftChars="0"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 xml:space="preserve"> </w:t>
      </w:r>
    </w:p>
    <w:p w14:paraId="226AC43B">
      <w:pPr>
        <w:keepNext w:val="0"/>
        <w:keepLines w:val="0"/>
        <w:pageBreakBefore w:val="0"/>
        <w:widowControl w:val="0"/>
        <w:kinsoku/>
        <w:wordWrap/>
        <w:topLinePunct w:val="0"/>
        <w:autoSpaceDE/>
        <w:autoSpaceDN/>
        <w:bidi w:val="0"/>
        <w:spacing w:line="660" w:lineRule="exact"/>
        <w:ind w:left="0" w:leftChars="0" w:firstLine="640" w:firstLineChars="200"/>
        <w:textAlignment w:val="auto"/>
        <w:rPr>
          <w:rFonts w:hint="eastAsia" w:ascii="仿宋_GB2312" w:hAnsi="仿宋_GB2312" w:eastAsia="仿宋_GB2312" w:cs="仿宋_GB2312"/>
          <w:color w:val="auto"/>
          <w:sz w:val="32"/>
          <w:szCs w:val="32"/>
        </w:rPr>
      </w:pPr>
      <w:bookmarkStart w:id="151" w:name="_Toc520647603"/>
      <w:bookmarkEnd w:id="151"/>
      <w:r>
        <w:rPr>
          <w:rFonts w:hint="eastAsia" w:ascii="仿宋_GB2312" w:hAnsi="仿宋_GB2312" w:eastAsia="仿宋_GB2312" w:cs="仿宋_GB2312"/>
          <w:color w:val="auto"/>
          <w:sz w:val="32"/>
          <w:szCs w:val="32"/>
        </w:rPr>
        <w:t>坚持和完善家庭经营在农业中的基础性地位，构建家庭经营、集体经营、合作经营、企业经营等共同发展的新型农业经营体系，培育规模化经营主体和服务主体，发展多种形式适度规模经营。创新农业社会化服务体系，实现小农户和大市场的有效衔接，建立集约化、专业化、组织化、社会化相结合的现代农业经营体系。</w:t>
      </w:r>
      <w:bookmarkStart w:id="152" w:name="_Toc22234"/>
    </w:p>
    <w:p w14:paraId="1027F1B0">
      <w:pPr>
        <w:keepNext w:val="0"/>
        <w:keepLines w:val="0"/>
        <w:pageBreakBefore w:val="0"/>
        <w:widowControl w:val="0"/>
        <w:kinsoku/>
        <w:wordWrap/>
        <w:topLinePunct w:val="0"/>
        <w:autoSpaceDE/>
        <w:autoSpaceDN/>
        <w:bidi w:val="0"/>
        <w:spacing w:line="66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一、培育壮大新型经营主体</w:t>
      </w:r>
      <w:bookmarkEnd w:id="152"/>
    </w:p>
    <w:p w14:paraId="79D06FD1">
      <w:pPr>
        <w:keepNext w:val="0"/>
        <w:keepLines w:val="0"/>
        <w:pageBreakBefore w:val="0"/>
        <w:widowControl w:val="0"/>
        <w:kinsoku/>
        <w:wordWrap/>
        <w:topLinePunct w:val="0"/>
        <w:autoSpaceDE/>
        <w:autoSpaceDN/>
        <w:bidi w:val="0"/>
        <w:spacing w:line="660" w:lineRule="exact"/>
        <w:ind w:left="0" w:leftChars="0" w:firstLine="640" w:firstLineChars="200"/>
        <w:textAlignment w:val="auto"/>
        <w:rPr>
          <w:rFonts w:hint="eastAsia" w:ascii="仿宋_GB2312" w:hAnsi="仿宋_GB2312" w:eastAsia="仿宋_GB2312" w:cs="仿宋_GB2312"/>
          <w:color w:val="auto"/>
          <w:sz w:val="32"/>
          <w:szCs w:val="32"/>
        </w:rPr>
      </w:pPr>
      <w:bookmarkStart w:id="153" w:name="_Toc440963097"/>
      <w:bookmarkEnd w:id="153"/>
      <w:bookmarkStart w:id="154" w:name="_Toc16810"/>
      <w:bookmarkEnd w:id="154"/>
      <w:r>
        <w:rPr>
          <w:rFonts w:hint="eastAsia" w:ascii="仿宋_GB2312" w:hAnsi="仿宋_GB2312" w:eastAsia="仿宋_GB2312" w:cs="仿宋_GB2312"/>
          <w:color w:val="auto"/>
          <w:sz w:val="32"/>
          <w:szCs w:val="32"/>
        </w:rPr>
        <w:t>建立现代家庭农场。实现家庭农场企业化经营管理，严格成员责任分工，最大限度地发挥资源的有效配置。鼓励工商资本进入农业领域，发展各具特色的家庭农场。</w:t>
      </w:r>
      <w:bookmarkStart w:id="155" w:name="_Toc26425"/>
      <w:bookmarkEnd w:id="155"/>
      <w:bookmarkStart w:id="156" w:name="_Toc440962961"/>
      <w:bookmarkEnd w:id="156"/>
      <w:bookmarkStart w:id="157" w:name="_Toc440963098"/>
      <w:bookmarkEnd w:id="157"/>
      <w:r>
        <w:rPr>
          <w:rFonts w:hint="eastAsia" w:ascii="仿宋_GB2312" w:hAnsi="仿宋_GB2312" w:eastAsia="仿宋_GB2312" w:cs="仿宋_GB2312"/>
          <w:color w:val="auto"/>
          <w:sz w:val="32"/>
          <w:szCs w:val="32"/>
        </w:rPr>
        <w:t>建立规范化农民专业合作社。按照《农民专业合作社法》，规范提升、重组整合、创办组建农民专业合作社，支持创建合作社联合社。到2025年，全市农民专业合作社达到15000家，国家级示范社达到100家，省级示范社达到400家。</w:t>
      </w:r>
      <w:bookmarkStart w:id="158" w:name="_Toc520647607"/>
      <w:bookmarkEnd w:id="158"/>
      <w:bookmarkStart w:id="159" w:name="_Toc30156"/>
      <w:bookmarkEnd w:id="159"/>
      <w:bookmarkStart w:id="160" w:name="_Toc440962962"/>
      <w:bookmarkEnd w:id="160"/>
      <w:bookmarkStart w:id="161" w:name="_Toc440963099"/>
      <w:bookmarkEnd w:id="161"/>
      <w:bookmarkStart w:id="162" w:name="_Toc25858"/>
    </w:p>
    <w:p w14:paraId="2F0E825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二、大力发展集体经济</w:t>
      </w:r>
      <w:bookmarkEnd w:id="162"/>
    </w:p>
    <w:p w14:paraId="49EFD46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积极探索新形势下村级集体经济发展新路，盘活农村建设用地，适时进行挂牌流转。因地制宜，推动集体资产经营、资源</w:t>
      </w:r>
      <w:r>
        <w:rPr>
          <w:rFonts w:hint="eastAsia" w:ascii="仿宋_GB2312" w:hAnsi="仿宋_GB2312" w:eastAsia="仿宋_GB2312" w:cs="仿宋_GB2312"/>
          <w:color w:val="auto"/>
          <w:sz w:val="32"/>
          <w:szCs w:val="32"/>
          <w:lang w:eastAsia="zh-CN"/>
        </w:rPr>
        <w:t>利用</w:t>
      </w:r>
      <w:r>
        <w:rPr>
          <w:rFonts w:hint="eastAsia" w:ascii="仿宋_GB2312" w:hAnsi="仿宋_GB2312" w:eastAsia="仿宋_GB2312" w:cs="仿宋_GB2312"/>
          <w:color w:val="auto"/>
          <w:sz w:val="32"/>
          <w:szCs w:val="32"/>
        </w:rPr>
        <w:t>和劳务经济发展，开辟二、三产业发展新路径。全面推进农村集体经济提升行动，建立国家财政扶持资金入股分红经营形式，发展多种股份合作经济，高效利用集体资产，实现“资源变资本、资金变股金、农民变股东”改革，建立符合市场经济规律的集体经济运行新模式、新机制。</w:t>
      </w:r>
      <w:bookmarkStart w:id="163" w:name="_Toc4016"/>
    </w:p>
    <w:p w14:paraId="36C6009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三、建立农村金融保险支持体系</w:t>
      </w:r>
      <w:bookmarkEnd w:id="163"/>
    </w:p>
    <w:p w14:paraId="4D5A521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把农业保险作为支持农业发展的重要手段，积极开发适应新型农业经营主体需求的保险品种，探索开展重要农产品目标价格保险、收入保险、天气指数保险试点，支持地方发展特色农产品保险、设施农业保险、森林保险等险种，引导广大农户自愿投保，逐步扩大承保面、增加保险品种、提高风险保障水平。力争将“粮食、水果、蔬菜、畜牧、中草药”等全部纳入</w:t>
      </w:r>
      <w:r>
        <w:rPr>
          <w:rFonts w:hint="eastAsia" w:ascii="仿宋_GB2312" w:hAnsi="仿宋_GB2312" w:eastAsia="仿宋_GB2312" w:cs="仿宋_GB2312"/>
          <w:color w:val="auto"/>
          <w:spacing w:val="0"/>
          <w:sz w:val="32"/>
          <w:szCs w:val="32"/>
        </w:rPr>
        <w:t>保险范围。探索建立农业补贴、涉农信贷、农产品期货和农业</w:t>
      </w:r>
      <w:r>
        <w:rPr>
          <w:rFonts w:hint="eastAsia" w:ascii="仿宋_GB2312" w:hAnsi="仿宋_GB2312" w:eastAsia="仿宋_GB2312" w:cs="仿宋_GB2312"/>
          <w:color w:val="auto"/>
          <w:spacing w:val="-6"/>
          <w:sz w:val="32"/>
          <w:szCs w:val="32"/>
        </w:rPr>
        <w:t>保险联动机制，“花小钱、保大安”，全面推进农业保险全覆盖。</w:t>
      </w:r>
      <w:bookmarkStart w:id="164" w:name="_Toc520647609"/>
      <w:bookmarkEnd w:id="164"/>
      <w:bookmarkStart w:id="165" w:name="_Toc2276"/>
    </w:p>
    <w:p w14:paraId="45DF387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四、建立农产品市场营销体系</w:t>
      </w:r>
      <w:bookmarkEnd w:id="165"/>
    </w:p>
    <w:p w14:paraId="19C416C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把工业企业营销模式引入农业领域，创造有利于全面搞活农产品流通的外部环境，加快推动和全国农产品市场一体化的农产品物联网、电子商务平台等建设，即时发布农产品供求信息，推动农产品市场营销。注重农产品博览会、推介会、展示会、洽谈会、商品交易会等宣传推介，打好品牌，开拓高端市场。做好经纪人队伍培育，充分发挥中介组织的作用，加强对农产品品牌战略的策划宣传，完善建立农产品市场营销体系。</w:t>
      </w:r>
      <w:bookmarkStart w:id="166" w:name="_Toc520647611"/>
      <w:bookmarkEnd w:id="166"/>
      <w:bookmarkStart w:id="167" w:name="_Toc1920"/>
    </w:p>
    <w:p w14:paraId="1B4D633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五、建设农产品市场交易体系</w:t>
      </w:r>
      <w:bookmarkEnd w:id="167"/>
    </w:p>
    <w:p w14:paraId="56BD2CA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168" w:name="_Toc458787813"/>
      <w:bookmarkEnd w:id="168"/>
      <w:bookmarkStart w:id="169" w:name="_Toc401477346"/>
      <w:bookmarkEnd w:id="169"/>
      <w:bookmarkStart w:id="170" w:name="_Toc458959542"/>
      <w:bookmarkEnd w:id="170"/>
      <w:bookmarkStart w:id="171" w:name="_Toc458961098"/>
      <w:r>
        <w:rPr>
          <w:rFonts w:hint="eastAsia" w:ascii="仿宋_GB2312" w:hAnsi="仿宋_GB2312" w:eastAsia="仿宋_GB2312" w:cs="仿宋_GB2312"/>
          <w:color w:val="auto"/>
          <w:sz w:val="32"/>
          <w:szCs w:val="32"/>
        </w:rPr>
        <w:t>解决农产品销售“最后一公里”问题，市场建设是关键。</w:t>
      </w:r>
      <w:bookmarkEnd w:id="171"/>
      <w:r>
        <w:rPr>
          <w:rFonts w:hint="eastAsia" w:ascii="仿宋_GB2312" w:hAnsi="仿宋_GB2312" w:eastAsia="仿宋_GB2312" w:cs="仿宋_GB2312"/>
          <w:color w:val="auto"/>
          <w:sz w:val="32"/>
          <w:szCs w:val="32"/>
        </w:rPr>
        <w:t>要建立完善的综合性批发市场，加快对现有的农产品大型批发市场进行升级改造，完善功能配套，打造农产品销售物流集散地和交易中心。要建立完善的区域性专业批发市场，定位于产地批发市场，建设功能齐全、服务完备的特色产业交易聚集区。要建立健全季节性田头交易市场，在农产品主产区村镇，设立固定场所，完善设施设备。同时，依托大型冷藏保鲜库，建立收储运一体化的交易市场，充分满足客商需求。要加大市场监管，营造良好的市场交易环境。</w:t>
      </w:r>
      <w:bookmarkStart w:id="172" w:name="_Toc520647620"/>
      <w:bookmarkEnd w:id="172"/>
      <w:bookmarkStart w:id="173" w:name="_Toc2864"/>
    </w:p>
    <w:p w14:paraId="0026910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b/>
          <w:color w:val="auto"/>
          <w:sz w:val="32"/>
          <w:szCs w:val="32"/>
        </w:rPr>
      </w:pPr>
      <w:r>
        <w:rPr>
          <w:rFonts w:hint="eastAsia" w:ascii="黑体" w:hAnsi="黑体" w:eastAsia="黑体" w:cs="方正楷体_GBK"/>
          <w:bCs/>
          <w:color w:val="auto"/>
          <w:sz w:val="32"/>
          <w:szCs w:val="32"/>
        </w:rPr>
        <w:t>六、建立农业社会化服务支撑体系</w:t>
      </w:r>
      <w:bookmarkEnd w:id="173"/>
    </w:p>
    <w:p w14:paraId="5875673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174" w:name="_Toc458961106"/>
      <w:bookmarkEnd w:id="174"/>
      <w:bookmarkStart w:id="175" w:name="_Toc436321774"/>
      <w:bookmarkEnd w:id="175"/>
      <w:bookmarkStart w:id="176" w:name="_Toc520647621"/>
      <w:bookmarkEnd w:id="176"/>
      <w:bookmarkStart w:id="177" w:name="_Toc458787821"/>
      <w:bookmarkEnd w:id="177"/>
      <w:bookmarkStart w:id="178" w:name="_Toc458959550"/>
      <w:r>
        <w:rPr>
          <w:rFonts w:hint="eastAsia" w:ascii="仿宋_GB2312" w:hAnsi="仿宋_GB2312" w:eastAsia="仿宋_GB2312" w:cs="仿宋_GB2312"/>
          <w:color w:val="auto"/>
          <w:sz w:val="32"/>
          <w:szCs w:val="32"/>
        </w:rPr>
        <w:t>农业现代化的重要标志之一就是农业社会化服务体系的建立。</w:t>
      </w:r>
      <w:bookmarkEnd w:id="178"/>
      <w:r>
        <w:rPr>
          <w:rFonts w:hint="eastAsia" w:ascii="仿宋_GB2312" w:hAnsi="仿宋_GB2312" w:eastAsia="仿宋_GB2312" w:cs="仿宋_GB2312"/>
          <w:color w:val="auto"/>
          <w:sz w:val="32"/>
          <w:szCs w:val="32"/>
        </w:rPr>
        <w:t>要按照建设现代农业的要求，加快补齐土地流转服务、农机农资供应经营服务、农村金融支持服务、农业政策支持保障等服务体系短板，全面构建以公共服务机构为依托、合作经济组织为基础、龙头企业为骨干、其他社会力量为补充、公益性服务和经营性服务相结合、专项服务和综合服务相协调的新型农业社会化服务体系。建立覆盖全程、综合配套、便捷高效的服务体系，形成多层次、多形式、多主体、多样化的农业社会化服务格局。为农民生产经营提供便捷高效的服务，把千家万户的分散生产经营变为相互联结、共同行动的合作生产、联合经营，实现小规模经营与大市场的有效对接，全面提升我市农业的整体素质和市场竞争力。</w:t>
      </w:r>
      <w:bookmarkStart w:id="179" w:name="_Toc520647623"/>
      <w:bookmarkEnd w:id="179"/>
      <w:r>
        <w:rPr>
          <w:rFonts w:hint="eastAsia" w:ascii="仿宋_GB2312" w:hAnsi="仿宋_GB2312" w:eastAsia="仿宋_GB2312" w:cs="仿宋_GB2312"/>
          <w:color w:val="auto"/>
          <w:sz w:val="32"/>
          <w:szCs w:val="32"/>
        </w:rPr>
        <w:t>到2025年，全市建立生产服务型和流通服务型组织2000家以上，实现主要农作物产前、产中、产后社会化服务覆盖面达到70%以上。</w:t>
      </w:r>
      <w:bookmarkStart w:id="180" w:name="_Toc458961107"/>
      <w:bookmarkEnd w:id="180"/>
      <w:bookmarkStart w:id="181" w:name="_Toc458787822"/>
      <w:bookmarkEnd w:id="181"/>
      <w:bookmarkStart w:id="182" w:name="_Toc520647624"/>
      <w:bookmarkEnd w:id="182"/>
      <w:bookmarkStart w:id="183" w:name="_Toc520647631"/>
      <w:bookmarkEnd w:id="183"/>
      <w:bookmarkStart w:id="184" w:name="_Toc1799"/>
    </w:p>
    <w:p w14:paraId="370979C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七、农产品质量安全监管体系建设</w:t>
      </w:r>
      <w:bookmarkEnd w:id="184"/>
    </w:p>
    <w:p w14:paraId="380CF1F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185" w:name="_Toc458787832"/>
      <w:bookmarkEnd w:id="185"/>
      <w:bookmarkStart w:id="186" w:name="_Toc458959559"/>
      <w:bookmarkEnd w:id="186"/>
      <w:bookmarkStart w:id="187" w:name="_Toc16925448"/>
      <w:bookmarkEnd w:id="187"/>
      <w:bookmarkStart w:id="188" w:name="_Toc458961115"/>
      <w:bookmarkEnd w:id="188"/>
      <w:bookmarkStart w:id="189" w:name="_Toc520647632"/>
      <w:bookmarkEnd w:id="189"/>
      <w:bookmarkStart w:id="190" w:name="_Toc16925573"/>
      <w:bookmarkEnd w:id="190"/>
      <w:bookmarkStart w:id="191" w:name="_Toc16925629"/>
      <w:bookmarkEnd w:id="191"/>
      <w:r>
        <w:rPr>
          <w:rFonts w:hint="eastAsia" w:ascii="仿宋_GB2312" w:hAnsi="仿宋_GB2312" w:eastAsia="仿宋_GB2312" w:cs="仿宋_GB2312"/>
          <w:color w:val="auto"/>
          <w:sz w:val="32"/>
          <w:szCs w:val="32"/>
        </w:rPr>
        <w:t>建立健全市、县、乡</w:t>
      </w: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级联动质量安全检验检测体系，持续强化农产品质量监管。加强农兽药执法监督，严格农业投入品使用，依法实施农业投入品登记许可，加强生产经营管理和使用指导，建立农药、兽用处方药等农业投入品生产经营购销台账。推进兽用抗菌药使用减量，严格执行兽用处方药制度和休药期制度。</w:t>
      </w:r>
      <w:r>
        <w:rPr>
          <w:rFonts w:hint="eastAsia" w:ascii="仿宋_GB2312" w:hAnsi="仿宋_GB2312" w:eastAsia="仿宋_GB2312" w:cs="仿宋_GB2312"/>
          <w:color w:val="auto"/>
          <w:sz w:val="32"/>
          <w:szCs w:val="32"/>
          <w:lang w:eastAsia="zh-CN"/>
        </w:rPr>
        <w:t>坚持开展农资市场巡查抽检工作，加强绿色有机生物农资产品使用推广，严厉查处坑农、害农违法案件。</w:t>
      </w:r>
      <w:r>
        <w:rPr>
          <w:rFonts w:hint="eastAsia" w:ascii="仿宋_GB2312" w:hAnsi="仿宋_GB2312" w:eastAsia="仿宋_GB2312" w:cs="仿宋_GB2312"/>
          <w:color w:val="auto"/>
          <w:sz w:val="32"/>
          <w:szCs w:val="32"/>
        </w:rPr>
        <w:t>实施农产品质量安全保障工程，强化农产品质量安全风险监测预警，深化国家农产品质量安全县创建。</w:t>
      </w:r>
      <w:r>
        <w:rPr>
          <w:rFonts w:hint="eastAsia" w:ascii="仿宋_GB2312" w:hAnsi="仿宋_GB2312" w:eastAsia="仿宋_GB2312" w:cs="仿宋_GB2312"/>
          <w:color w:val="auto"/>
          <w:sz w:val="32"/>
          <w:szCs w:val="32"/>
          <w:lang w:eastAsia="zh-CN"/>
        </w:rPr>
        <w:t>推动落实“四挂钩”（农产品质量安全追溯管理与农业农村重大创建认定、农产品优质品牌推选、农产品认证、农业展会“四挂钩”），提升智慧监管能力。</w:t>
      </w:r>
      <w:r>
        <w:rPr>
          <w:rFonts w:hint="eastAsia" w:ascii="仿宋_GB2312" w:hAnsi="仿宋_GB2312" w:eastAsia="仿宋_GB2312" w:cs="仿宋_GB2312"/>
          <w:color w:val="auto"/>
          <w:sz w:val="32"/>
          <w:szCs w:val="32"/>
        </w:rPr>
        <w:t>建设农产品质量全程追溯体系，加强信息技术应用，探索“阳光农安”智慧监管模式，推进生产标准化、监管智慧化、特征标识化、产品身份化。强化质量安全监管执法，开展“治违禁促提升”行动，严厉查处禁限用农药、食品动物禁止使用的药品和其他化合物使用及超标问题。完善生产主体名录，强化日常巡查检查，严格落实“双随机”要求，扎实开展监督抽查、飞行检查。</w:t>
      </w:r>
      <w:bookmarkStart w:id="192" w:name="_Toc458787834"/>
      <w:bookmarkEnd w:id="192"/>
      <w:bookmarkStart w:id="193" w:name="_Toc436321784"/>
      <w:bookmarkEnd w:id="193"/>
      <w:bookmarkStart w:id="194" w:name="_Toc458959561"/>
      <w:bookmarkEnd w:id="194"/>
      <w:bookmarkStart w:id="195" w:name="_Toc458961117"/>
      <w:bookmarkEnd w:id="195"/>
      <w:bookmarkStart w:id="196" w:name="_Toc520647634"/>
      <w:bookmarkEnd w:id="196"/>
      <w:r>
        <w:rPr>
          <w:rFonts w:hint="eastAsia" w:ascii="仿宋_GB2312" w:hAnsi="仿宋_GB2312" w:eastAsia="仿宋_GB2312" w:cs="仿宋_GB2312"/>
          <w:color w:val="auto"/>
          <w:sz w:val="32"/>
          <w:szCs w:val="32"/>
        </w:rPr>
        <w:t>到2025年，全市13个县（市、区）率先建成农产品质量安全可追溯体系县。</w:t>
      </w:r>
    </w:p>
    <w:p w14:paraId="7A5324E4">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ascii="方正黑体_GBK" w:hAnsi="方正黑体_GBK" w:eastAsia="方正黑体_GBK" w:cs="方正黑体_GBK"/>
          <w:bCs/>
          <w:color w:val="auto"/>
          <w:sz w:val="32"/>
          <w:szCs w:val="32"/>
        </w:rPr>
      </w:pPr>
      <w:bookmarkStart w:id="197" w:name="_Toc520647635"/>
      <w:bookmarkEnd w:id="197"/>
      <w:r>
        <w:rPr>
          <w:rFonts w:hint="eastAsia" w:ascii="仿宋" w:hAnsi="仿宋" w:eastAsia="仿宋" w:cs="仿宋"/>
          <w:b/>
          <w:color w:val="auto"/>
          <w:sz w:val="32"/>
          <w:szCs w:val="32"/>
        </w:rPr>
        <w:t xml:space="preserve">  </w:t>
      </w:r>
      <w:bookmarkStart w:id="198" w:name="_Toc11898"/>
    </w:p>
    <w:p w14:paraId="21C5EE1A">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第五节  打造特色农产品品牌</w:t>
      </w:r>
      <w:bookmarkEnd w:id="198"/>
    </w:p>
    <w:p w14:paraId="25F1371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bookmarkStart w:id="199" w:name="_Toc458787815"/>
      <w:bookmarkEnd w:id="199"/>
      <w:bookmarkStart w:id="200" w:name="_Toc458961100"/>
      <w:bookmarkEnd w:id="200"/>
      <w:bookmarkStart w:id="201" w:name="_Toc458959544"/>
      <w:bookmarkEnd w:id="201"/>
      <w:bookmarkStart w:id="202" w:name="_Toc436321786"/>
      <w:r>
        <w:rPr>
          <w:rFonts w:hint="eastAsia" w:ascii="仿宋" w:hAnsi="仿宋" w:eastAsia="仿宋" w:cs="仿宋"/>
          <w:color w:val="auto"/>
          <w:sz w:val="32"/>
          <w:szCs w:val="32"/>
        </w:rPr>
        <w:t xml:space="preserve"> </w:t>
      </w:r>
      <w:bookmarkEnd w:id="202"/>
    </w:p>
    <w:p w14:paraId="7F88F62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203" w:name="_Toc520647636"/>
      <w:bookmarkEnd w:id="203"/>
      <w:r>
        <w:rPr>
          <w:rFonts w:hint="eastAsia" w:ascii="仿宋_GB2312" w:hAnsi="仿宋_GB2312" w:eastAsia="仿宋_GB2312" w:cs="仿宋_GB2312"/>
          <w:color w:val="auto"/>
          <w:sz w:val="32"/>
          <w:szCs w:val="32"/>
        </w:rPr>
        <w:t>构建和打造特色农产品品牌是推动现代农业发展的必然要求，更是推动农民增收的重要举措，功在当前，利在长远。</w:t>
      </w:r>
      <w:bookmarkStart w:id="204" w:name="_Toc6188"/>
    </w:p>
    <w:p w14:paraId="700CA61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一、推进农业品牌建设</w:t>
      </w:r>
      <w:bookmarkEnd w:id="204"/>
    </w:p>
    <w:p w14:paraId="30F22A9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农产品品牌是增强特色农产品市场竞争力，促进农业经济发展的有效措施。</w:t>
      </w:r>
      <w:r>
        <w:rPr>
          <w:rFonts w:hint="eastAsia" w:ascii="仿宋_GB2312" w:hAnsi="仿宋_GB2312" w:eastAsia="仿宋_GB2312" w:cs="仿宋_GB2312"/>
          <w:color w:val="auto"/>
          <w:sz w:val="32"/>
          <w:szCs w:val="32"/>
          <w:u w:val="none"/>
          <w:lang w:eastAsia="zh-CN"/>
        </w:rPr>
        <w:t>打响“农耕之源、天富运城”地域公用品牌，放大运城农业</w:t>
      </w:r>
      <w:r>
        <w:rPr>
          <w:rFonts w:hint="eastAsia" w:ascii="仿宋_GB2312" w:hAnsi="仿宋_GB2312" w:eastAsia="仿宋_GB2312" w:cs="仿宋_GB2312"/>
          <w:color w:val="auto"/>
          <w:sz w:val="32"/>
          <w:szCs w:val="32"/>
        </w:rPr>
        <w:t>和特色农产品优势，培育一批“大而优”“小而美”有影响力的农产品品牌。鼓励龙头企业加强自主创新、打造一批竞争力强的企业品牌。加强品牌管理，制定农业品牌工作管理办法，推进</w:t>
      </w:r>
      <w:r>
        <w:rPr>
          <w:rFonts w:hint="eastAsia" w:ascii="仿宋_GB2312" w:hAnsi="仿宋_GB2312" w:eastAsia="仿宋_GB2312" w:cs="仿宋_GB2312"/>
          <w:color w:val="auto"/>
          <w:sz w:val="32"/>
          <w:szCs w:val="32"/>
          <w:lang w:eastAsia="zh-CN"/>
        </w:rPr>
        <w:t>运城</w:t>
      </w:r>
      <w:r>
        <w:rPr>
          <w:rFonts w:hint="eastAsia" w:ascii="仿宋_GB2312" w:hAnsi="仿宋_GB2312" w:eastAsia="仿宋_GB2312" w:cs="仿宋_GB2312"/>
          <w:color w:val="auto"/>
          <w:sz w:val="32"/>
          <w:szCs w:val="32"/>
        </w:rPr>
        <w:t>农业品牌目录建设，发布品牌目录与消费索引。建立农业品牌评价体系，发布公益性农业品牌评价与发展指数，完善评价和退出机制。强化农业品牌监管，实行农业品牌动态管理，加大对冒牌、套牌和滥用品牌的惩处力度。引导优秀农业品牌参加国际知名展会，促进品牌营销，挖掘和丰富品牌内涵，培育品牌文化。支持建立外</w:t>
      </w:r>
      <w:r>
        <w:rPr>
          <w:rFonts w:hint="eastAsia" w:ascii="仿宋_GB2312" w:hAnsi="仿宋_GB2312" w:eastAsia="仿宋_GB2312" w:cs="仿宋_GB2312"/>
          <w:color w:val="auto"/>
          <w:sz w:val="32"/>
          <w:szCs w:val="32"/>
          <w:lang w:eastAsia="zh-CN"/>
        </w:rPr>
        <w:t>地</w:t>
      </w:r>
      <w:r>
        <w:rPr>
          <w:rFonts w:hint="eastAsia" w:ascii="仿宋_GB2312" w:hAnsi="仿宋_GB2312" w:eastAsia="仿宋_GB2312" w:cs="仿宋_GB2312"/>
          <w:color w:val="auto"/>
          <w:sz w:val="32"/>
          <w:szCs w:val="32"/>
        </w:rPr>
        <w:t>展示展销中心，提升品牌影响力。用五年时间，打造运城特优农业强市、品牌农业名市、全国农业标准化示范市。</w:t>
      </w:r>
      <w:bookmarkStart w:id="205" w:name="_Toc458959545"/>
      <w:bookmarkEnd w:id="205"/>
      <w:bookmarkStart w:id="206" w:name="_Toc458787816"/>
      <w:bookmarkEnd w:id="206"/>
      <w:bookmarkStart w:id="207" w:name="_Toc458961101"/>
      <w:bookmarkEnd w:id="207"/>
      <w:bookmarkStart w:id="208" w:name="_Toc436321787"/>
      <w:bookmarkEnd w:id="208"/>
      <w:bookmarkStart w:id="209" w:name="_Toc520647637"/>
      <w:bookmarkStart w:id="210" w:name="_Toc26665"/>
    </w:p>
    <w:p w14:paraId="0FB6A5A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w:t>
      </w:r>
      <w:bookmarkEnd w:id="209"/>
      <w:r>
        <w:rPr>
          <w:rFonts w:hint="eastAsia" w:ascii="黑体" w:hAnsi="黑体" w:eastAsia="黑体" w:cs="方正楷体_GBK"/>
          <w:bCs/>
          <w:color w:val="auto"/>
          <w:sz w:val="32"/>
          <w:szCs w:val="32"/>
        </w:rPr>
        <w:t>打造运城农业区域公用品牌</w:t>
      </w:r>
      <w:bookmarkEnd w:id="210"/>
    </w:p>
    <w:p w14:paraId="1F1DE2E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运城市作为特优农业大市，目前已形成了一批国家、省、市农产品系列品牌，</w:t>
      </w:r>
      <w:r>
        <w:rPr>
          <w:rFonts w:hint="eastAsia" w:ascii="仿宋_GB2312" w:hAnsi="仿宋_GB2312" w:eastAsia="仿宋_GB2312" w:cs="仿宋_GB2312"/>
          <w:color w:val="auto"/>
          <w:sz w:val="32"/>
          <w:szCs w:val="32"/>
          <w:lang w:eastAsia="zh-CN"/>
        </w:rPr>
        <w:t>但</w:t>
      </w:r>
      <w:r>
        <w:rPr>
          <w:rFonts w:hint="eastAsia" w:ascii="仿宋_GB2312" w:hAnsi="仿宋_GB2312" w:eastAsia="仿宋_GB2312" w:cs="仿宋_GB2312"/>
          <w:color w:val="auto"/>
          <w:sz w:val="32"/>
          <w:szCs w:val="32"/>
        </w:rPr>
        <w:t>影响力较低，统一地理区域的品牌杂，难以突出运城农业品牌价值。要重点打造“运城面粉”“运城苹果”“运城蔬菜”“运城</w:t>
      </w:r>
      <w:r>
        <w:rPr>
          <w:rFonts w:hint="eastAsia" w:ascii="仿宋_GB2312" w:hAnsi="仿宋_GB2312" w:eastAsia="仿宋_GB2312" w:cs="仿宋_GB2312"/>
          <w:color w:val="auto"/>
          <w:sz w:val="32"/>
          <w:szCs w:val="32"/>
          <w:lang w:eastAsia="zh-CN"/>
        </w:rPr>
        <w:t>果蔬茶</w:t>
      </w:r>
      <w:r>
        <w:rPr>
          <w:rFonts w:hint="eastAsia" w:ascii="仿宋_GB2312" w:hAnsi="仿宋_GB2312" w:eastAsia="仿宋_GB2312" w:cs="仿宋_GB2312"/>
          <w:color w:val="auto"/>
          <w:sz w:val="32"/>
          <w:szCs w:val="32"/>
        </w:rPr>
        <w:t>”等“运”字牌市域公用品牌，以市域品牌提升全市产业发展。加快推进如“稷山四宝（麻花饼子鸡蛋枣）”“绛县大樱桃”“绛县山楂”“夏乐西瓜”“万荣大葱”“河津韭菜”等县域公用品牌，形成不同层次、不同系列的区域公用品牌。到2025年，全市</w:t>
      </w:r>
      <w:r>
        <w:rPr>
          <w:rFonts w:hint="eastAsia" w:ascii="仿宋_GB2312" w:hAnsi="仿宋_GB2312" w:eastAsia="仿宋_GB2312" w:cs="仿宋_GB2312"/>
          <w:color w:val="auto"/>
          <w:sz w:val="32"/>
          <w:szCs w:val="32"/>
          <w:lang w:eastAsia="zh-CN"/>
        </w:rPr>
        <w:t>新</w:t>
      </w:r>
      <w:r>
        <w:rPr>
          <w:rFonts w:hint="eastAsia" w:ascii="仿宋_GB2312" w:hAnsi="仿宋_GB2312" w:eastAsia="仿宋_GB2312" w:cs="仿宋_GB2312"/>
          <w:color w:val="auto"/>
          <w:sz w:val="32"/>
          <w:szCs w:val="32"/>
        </w:rPr>
        <w:t>创建</w:t>
      </w:r>
      <w:r>
        <w:rPr>
          <w:rFonts w:hint="eastAsia" w:ascii="仿宋_GB2312" w:hAnsi="仿宋_GB2312" w:eastAsia="仿宋_GB2312" w:cs="仿宋_GB2312"/>
          <w:color w:val="auto"/>
          <w:sz w:val="32"/>
          <w:szCs w:val="32"/>
          <w:lang w:val="en-US" w:eastAsia="zh-CN"/>
        </w:rPr>
        <w:t>23</w:t>
      </w:r>
      <w:r>
        <w:rPr>
          <w:rFonts w:hint="eastAsia" w:ascii="仿宋_GB2312" w:hAnsi="仿宋_GB2312" w:eastAsia="仿宋_GB2312" w:cs="仿宋_GB2312"/>
          <w:color w:val="auto"/>
          <w:sz w:val="32"/>
          <w:szCs w:val="32"/>
        </w:rPr>
        <w:t>个区域公共品牌。</w:t>
      </w:r>
      <w:bookmarkStart w:id="211" w:name="_Toc458961102"/>
      <w:bookmarkEnd w:id="211"/>
      <w:bookmarkStart w:id="212" w:name="_Toc458959546"/>
      <w:bookmarkEnd w:id="212"/>
      <w:bookmarkStart w:id="213" w:name="_Toc458787817"/>
      <w:bookmarkEnd w:id="213"/>
      <w:bookmarkStart w:id="214" w:name="_Toc436321788"/>
      <w:bookmarkEnd w:id="214"/>
      <w:bookmarkStart w:id="215" w:name="_Toc520647638"/>
      <w:bookmarkEnd w:id="215"/>
      <w:bookmarkStart w:id="216" w:name="_Toc2408"/>
    </w:p>
    <w:p w14:paraId="6287097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三、提升老品牌创建新品牌</w:t>
      </w:r>
      <w:bookmarkEnd w:id="216"/>
    </w:p>
    <w:p w14:paraId="2BBD405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运城系列农产品品牌，除个别品牌外，大多数品牌市场影响</w:t>
      </w:r>
      <w:r>
        <w:rPr>
          <w:rFonts w:hint="eastAsia" w:ascii="仿宋_GB2312" w:hAnsi="仿宋_GB2312" w:eastAsia="仿宋_GB2312" w:cs="仿宋_GB2312"/>
          <w:color w:val="auto"/>
          <w:sz w:val="32"/>
          <w:szCs w:val="32"/>
          <w:lang w:eastAsia="zh-CN"/>
        </w:rPr>
        <w:t>力</w:t>
      </w:r>
      <w:r>
        <w:rPr>
          <w:rFonts w:hint="eastAsia" w:ascii="仿宋_GB2312" w:hAnsi="仿宋_GB2312" w:eastAsia="仿宋_GB2312" w:cs="仿宋_GB2312"/>
          <w:color w:val="auto"/>
          <w:sz w:val="32"/>
          <w:szCs w:val="32"/>
        </w:rPr>
        <w:t>较小。要做大做强现有品牌，巩固市场认知度，重点做好“维之王”“金顺源”“稷山板枣”“夏乐西瓜”“福同惠”“闻喜煮饼”“卫嫂馍业”“稷山麻花”“稷山板枣”“芮城屯屯枣”“七里坡山楂”“龙门鲤”“河东鲈”等企业品牌和产品品牌，强化企业品牌建设支持力度。开展品牌保护提升行动，对获得中国驰名商标、山西著名商标和地理标志的农产品，给予一定奖补。鼓励支持企业创建新品牌，重点培育龙头企业、合作组织等创建新品牌，以品牌建设加速农业产业化进程。到2025年，全市创建知名品牌达到100个以上。</w:t>
      </w:r>
      <w:bookmarkStart w:id="217" w:name="_Toc458961103"/>
      <w:bookmarkEnd w:id="217"/>
      <w:bookmarkStart w:id="218" w:name="_Toc436321789"/>
      <w:bookmarkEnd w:id="218"/>
      <w:bookmarkStart w:id="219" w:name="_Toc520647639"/>
      <w:bookmarkEnd w:id="219"/>
      <w:bookmarkStart w:id="220" w:name="_Toc458959547"/>
      <w:bookmarkEnd w:id="220"/>
      <w:bookmarkStart w:id="221" w:name="_Toc458787818"/>
      <w:bookmarkEnd w:id="221"/>
      <w:bookmarkStart w:id="222" w:name="_Toc2234"/>
    </w:p>
    <w:p w14:paraId="6D02B8B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四、建立农产品认证基地</w:t>
      </w:r>
      <w:bookmarkEnd w:id="222"/>
      <w:r>
        <w:rPr>
          <w:rFonts w:hint="eastAsia" w:ascii="黑体" w:hAnsi="黑体" w:eastAsia="黑体" w:cs="仿宋"/>
          <w:b/>
          <w:color w:val="auto"/>
          <w:sz w:val="32"/>
          <w:szCs w:val="32"/>
        </w:rPr>
        <w:t xml:space="preserve">  </w:t>
      </w:r>
    </w:p>
    <w:p w14:paraId="59AFDF9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b/>
          <w:color w:val="auto"/>
          <w:sz w:val="32"/>
          <w:szCs w:val="32"/>
        </w:rPr>
      </w:pPr>
      <w:r>
        <w:rPr>
          <w:rFonts w:hint="eastAsia" w:ascii="仿宋_GB2312" w:hAnsi="仿宋_GB2312" w:eastAsia="仿宋_GB2312" w:cs="仿宋_GB2312"/>
          <w:color w:val="auto"/>
          <w:sz w:val="32"/>
          <w:szCs w:val="32"/>
        </w:rPr>
        <w:t>建立以区域特征为标识的品牌基地，划分优势产品保护区，禁止污染企业进入，建立具有运城特色的农业绿色生态区，打造一批绿色食品原料标准化生产基地和有机农产品生产基地。积极发展绿色食品、有机农产品、地理标志</w:t>
      </w:r>
      <w:r>
        <w:rPr>
          <w:rFonts w:hint="eastAsia" w:ascii="仿宋_GB2312" w:hAnsi="仿宋_GB2312" w:eastAsia="仿宋_GB2312" w:cs="仿宋_GB2312"/>
          <w:color w:val="auto"/>
          <w:sz w:val="32"/>
          <w:szCs w:val="32"/>
          <w:lang w:eastAsia="zh-CN"/>
        </w:rPr>
        <w:t>、气候标志</w:t>
      </w:r>
      <w:r>
        <w:rPr>
          <w:rFonts w:hint="eastAsia" w:ascii="仿宋_GB2312" w:hAnsi="仿宋_GB2312" w:eastAsia="仿宋_GB2312" w:cs="仿宋_GB2312"/>
          <w:color w:val="auto"/>
          <w:sz w:val="32"/>
          <w:szCs w:val="32"/>
        </w:rPr>
        <w:t>农产品生产</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推行</w:t>
      </w:r>
      <w:r>
        <w:rPr>
          <w:rFonts w:hint="eastAsia" w:ascii="仿宋_GB2312" w:hAnsi="仿宋_GB2312" w:eastAsia="仿宋_GB2312" w:cs="仿宋_GB2312"/>
          <w:color w:val="auto"/>
          <w:sz w:val="32"/>
          <w:szCs w:val="32"/>
          <w:lang w:eastAsia="zh-CN"/>
        </w:rPr>
        <w:t>承诺</w:t>
      </w:r>
      <w:r>
        <w:rPr>
          <w:rFonts w:hint="eastAsia" w:ascii="仿宋_GB2312" w:hAnsi="仿宋_GB2312" w:eastAsia="仿宋_GB2312" w:cs="仿宋_GB2312"/>
          <w:color w:val="auto"/>
          <w:sz w:val="32"/>
          <w:szCs w:val="32"/>
        </w:rPr>
        <w:t>达标合格证制度</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指导生产者在自控自检的基础上规范开具合格证，推动有条件的地方实施信息化管理。实现合格证制度与已有监管措施的融合推进，探索</w:t>
      </w:r>
      <w:r>
        <w:rPr>
          <w:rFonts w:hint="eastAsia" w:ascii="仿宋_GB2312" w:hAnsi="仿宋_GB2312" w:eastAsia="仿宋_GB2312" w:cs="仿宋_GB2312"/>
          <w:color w:val="auto"/>
          <w:sz w:val="32"/>
          <w:szCs w:val="32"/>
          <w:lang w:eastAsia="zh-CN"/>
        </w:rPr>
        <w:t>开展</w:t>
      </w:r>
      <w:r>
        <w:rPr>
          <w:rFonts w:hint="eastAsia" w:ascii="仿宋_GB2312" w:hAnsi="仿宋_GB2312" w:eastAsia="仿宋_GB2312" w:cs="仿宋_GB2312"/>
          <w:color w:val="auto"/>
          <w:sz w:val="32"/>
          <w:szCs w:val="32"/>
        </w:rPr>
        <w:t>主体信用评价机制。强化农产品认证和监管，完善绿色食品、有机农产品、地理标志</w:t>
      </w:r>
      <w:r>
        <w:rPr>
          <w:rFonts w:hint="eastAsia" w:ascii="仿宋_GB2312" w:hAnsi="仿宋_GB2312" w:eastAsia="仿宋_GB2312" w:cs="仿宋_GB2312"/>
          <w:color w:val="auto"/>
          <w:sz w:val="32"/>
          <w:szCs w:val="32"/>
          <w:lang w:eastAsia="zh-CN"/>
        </w:rPr>
        <w:t>、气候标志</w:t>
      </w:r>
      <w:r>
        <w:rPr>
          <w:rFonts w:hint="eastAsia" w:ascii="仿宋_GB2312" w:hAnsi="仿宋_GB2312" w:eastAsia="仿宋_GB2312" w:cs="仿宋_GB2312"/>
          <w:color w:val="auto"/>
          <w:sz w:val="32"/>
          <w:szCs w:val="32"/>
        </w:rPr>
        <w:t>农产品认证审核流程和技术规范，规范标志使用，加强相关风险监测和证后监管，稳步扩大认证规模。深入实施地理标志农产品保护工程，建设一批特色品种繁育基地和核心生产基地，挖掘保护传统农耕文化，推动地理标志农产品生产标准化、产品特色化、身份标识化、全程数字化发展。</w:t>
      </w:r>
      <w:r>
        <w:rPr>
          <w:rFonts w:hint="eastAsia" w:ascii="仿宋" w:hAnsi="仿宋" w:eastAsia="仿宋" w:cs="仿宋"/>
          <w:color w:val="auto"/>
          <w:sz w:val="32"/>
          <w:szCs w:val="32"/>
        </w:rPr>
        <w:t xml:space="preserve"> </w:t>
      </w:r>
      <w:bookmarkStart w:id="223" w:name="_Toc520647640"/>
      <w:bookmarkEnd w:id="223"/>
    </w:p>
    <w:p w14:paraId="7D930969">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224" w:name="_Toc23944"/>
    </w:p>
    <w:p w14:paraId="730BD96F">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第六节  推进</w:t>
      </w:r>
      <w:r>
        <w:rPr>
          <w:rFonts w:hint="eastAsia" w:ascii="楷体_GB2312" w:hAnsi="楷体_GB2312" w:eastAsia="楷体_GB2312" w:cs="楷体_GB2312"/>
          <w:bCs/>
          <w:color w:val="auto"/>
          <w:sz w:val="32"/>
          <w:szCs w:val="32"/>
          <w:lang w:eastAsia="zh-CN"/>
        </w:rPr>
        <w:t>乡</w:t>
      </w:r>
      <w:r>
        <w:rPr>
          <w:rFonts w:hint="eastAsia" w:ascii="楷体_GB2312" w:hAnsi="楷体_GB2312" w:eastAsia="楷体_GB2312" w:cs="楷体_GB2312"/>
          <w:bCs/>
          <w:color w:val="auto"/>
          <w:sz w:val="32"/>
          <w:szCs w:val="32"/>
        </w:rPr>
        <w:t>村产业融合发展</w:t>
      </w:r>
      <w:bookmarkEnd w:id="224"/>
    </w:p>
    <w:p w14:paraId="539959F8">
      <w:pPr>
        <w:keepNext w:val="0"/>
        <w:keepLines w:val="0"/>
        <w:pageBreakBefore w:val="0"/>
        <w:widowControl w:val="0"/>
        <w:kinsoku/>
        <w:wordWrap/>
        <w:topLinePunct w:val="0"/>
        <w:autoSpaceDE/>
        <w:autoSpaceDN/>
        <w:bidi w:val="0"/>
        <w:spacing w:line="650" w:lineRule="exact"/>
        <w:ind w:left="0" w:leftChars="0" w:firstLine="640" w:firstLineChars="200"/>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 xml:space="preserve"> </w:t>
      </w:r>
    </w:p>
    <w:p w14:paraId="7856856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运城区位优势突出，农业资源丰富，农村一二三产业融合发展势头强劲，具备农林文旅康居一体化发展的显著优势。要依托资源优势、区位优势，推动打造全省农林文旅康居的新高地、领先区和排头兵。</w:t>
      </w:r>
      <w:bookmarkStart w:id="225" w:name="_Toc520647642"/>
      <w:bookmarkEnd w:id="225"/>
      <w:bookmarkStart w:id="226" w:name="_Toc13054"/>
    </w:p>
    <w:p w14:paraId="57A458E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一、</w:t>
      </w:r>
      <w:r>
        <w:rPr>
          <w:color w:val="auto"/>
        </w:rPr>
        <w:fldChar w:fldCharType="begin"/>
      </w:r>
      <w:r>
        <w:rPr>
          <w:color w:val="auto"/>
        </w:rPr>
        <w:instrText xml:space="preserve"> HYPERLINK \l "_Toc16756445" </w:instrText>
      </w:r>
      <w:r>
        <w:rPr>
          <w:color w:val="auto"/>
        </w:rPr>
        <w:fldChar w:fldCharType="separate"/>
      </w:r>
      <w:r>
        <w:rPr>
          <w:rFonts w:hint="eastAsia" w:ascii="黑体" w:hAnsi="黑体" w:eastAsia="黑体" w:cs="方正楷体_GBK"/>
          <w:bCs/>
          <w:color w:val="auto"/>
          <w:sz w:val="32"/>
          <w:szCs w:val="32"/>
        </w:rPr>
        <w:t>构建农林文旅康居发展大格局</w:t>
      </w:r>
      <w:r>
        <w:rPr>
          <w:rFonts w:hint="eastAsia" w:ascii="黑体" w:hAnsi="黑体" w:eastAsia="黑体" w:cs="方正楷体_GBK"/>
          <w:bCs/>
          <w:color w:val="auto"/>
          <w:sz w:val="32"/>
          <w:szCs w:val="32"/>
        </w:rPr>
        <w:fldChar w:fldCharType="end"/>
      </w:r>
      <w:bookmarkEnd w:id="226"/>
    </w:p>
    <w:p w14:paraId="4A3F3B9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依托运城农业资源优势，努力打造农林文旅康居一体化发展新格局，全方位推动城郊农业、特色农业、生态农业、功能农业一体发展。发挥农业生产功能、休闲观光功能和食疗营养功能，推动中条山、黄河、汾河、峨嵋岭、沿黄一号旅游公路等生态林业、沿河景观林、丘陵田园经济林建设，构建运城生态保护屏障，念好山水经，唱好林草戏，打好果菜牌，提升城乡环境质量。充分挖掘运城农耕文化底蕴，大力发展农旅文化产业，打造农业旅游、生态旅游、乡村旅游业，开发休闲农业和乡村旅游精品线路，把资源优势转变为经济发展优势，打造黄河金三角休闲旅游体验目的地。充分利用田园风光、</w:t>
      </w:r>
      <w:r>
        <w:rPr>
          <w:rFonts w:hint="eastAsia" w:ascii="仿宋_GB2312" w:hAnsi="仿宋_GB2312" w:eastAsia="仿宋_GB2312" w:cs="仿宋_GB2312"/>
          <w:color w:val="auto"/>
          <w:sz w:val="32"/>
          <w:szCs w:val="32"/>
          <w:lang w:eastAsia="zh-CN"/>
        </w:rPr>
        <w:t>天然</w:t>
      </w:r>
      <w:r>
        <w:rPr>
          <w:rFonts w:hint="eastAsia" w:ascii="仿宋_GB2312" w:hAnsi="仿宋_GB2312" w:eastAsia="仿宋_GB2312" w:cs="仿宋_GB2312"/>
          <w:color w:val="auto"/>
          <w:sz w:val="32"/>
          <w:szCs w:val="32"/>
        </w:rPr>
        <w:t>氧吧、温泉康养和慢城创生，发展水疗康养、森林康养、农业康养和食疗保健，打造区域特色养老养生休闲基地和国家智慧生态功能型养老产业基地。</w:t>
      </w:r>
      <w:bookmarkStart w:id="227" w:name="_Toc4715"/>
    </w:p>
    <w:p w14:paraId="5DDB8CB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二、大力发展城郊农业</w:t>
      </w:r>
      <w:bookmarkEnd w:id="227"/>
    </w:p>
    <w:p w14:paraId="7CD6946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围绕“盐临夏”区域中心城市建设，按照“服务城市、繁荣农村，方便市民、富裕农民”的城郊农业发展要求，全面凸显中心城市交通区位优势、产业发展增长极优势、区域性物流中心地位优势，以城市居民需求为导向，以现代物质装备和农业科技为支撑，充分发挥城郊农业的多功能性，坚持农业与生态景观、农业与郊游采摘、农业与乡村旅游、农业与文化博览、农业与加工物流等一体化发展，推进盐湖、临猗、夏县农业布局区域化、生产专业化、产品高端化、产业集群化和功能多样化发展，构建生产、生态、生活、文化、休闲功能于一体的现代城郊农业体系。重点布局建设“二圈六业”。“二圈”即：依托城市环线，构建休闲观光、旅游采摘和市民农园，打造以慢行游、骑行游为主的10公里近郊休闲观光农业圈；依托运城--临猗、运城—夏县、运城—稷山（盐湖段）三大通道，构建休闲农业、生态农业，打造以家庭自驾游和野外休闲游为主的20公里远郊生态观光农业圈层。“六业”即：以花卉苗木、设施瓜菜、设施水果等为主的高端高效农业；以富硒水果、富硒杂粮、富硒蔬菜等为主的精品功能农业；以休闲度假、娱乐郊游等为主的休闲观光农业；以建设市民体验农园为主的市民体验农业；以会展农业、仓储物流、农产品加工、农产品供应配送等为主的农业加工物流业；以创建森林城镇、城郊森林公园、园林村庄为主的</w:t>
      </w:r>
      <w:bookmarkStart w:id="228" w:name="_Toc520647643"/>
      <w:bookmarkEnd w:id="228"/>
      <w:r>
        <w:rPr>
          <w:rFonts w:hint="eastAsia" w:ascii="仿宋_GB2312" w:hAnsi="仿宋_GB2312" w:eastAsia="仿宋_GB2312" w:cs="仿宋_GB2312"/>
          <w:color w:val="auto"/>
          <w:sz w:val="32"/>
          <w:szCs w:val="32"/>
        </w:rPr>
        <w:t>绿色生态农业，打造以核心增长极为引领的中高端农旅产业示范区。</w:t>
      </w:r>
      <w:bookmarkStart w:id="229" w:name="_Toc615"/>
    </w:p>
    <w:p w14:paraId="63E2CA0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三、加快推进功能农业</w:t>
      </w:r>
      <w:bookmarkEnd w:id="229"/>
    </w:p>
    <w:p w14:paraId="59C5FEF2">
      <w:pPr>
        <w:pStyle w:val="2"/>
        <w:spacing w:line="650" w:lineRule="exact"/>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功能农业是继绿色农业之后的又一次农业革命，市场潜力巨大。要按照省委、省政府提出的“以发展功能农业为引领，加快结构调整步伐，提高农业综合效益和竞争力”的战略部署，以“农产品增值、农民增收、农业增效、人民增寿”为目标，重点围绕优质小麦、水果、蔬菜、水稻等，大力开发功能性食品，打造功能农业品牌。重点在盐湖、万荣、临猗、夏县等地建设富硒水果示范基地；在黄汾百万亩粮食示范基地的芮城、永济、临猗、新绛等地建设万亩有机富硒旱稻基地；在万荣、河津、闻喜、夏县等地建设富硒小麦基地；在新绛、夏县、盐湖等地建设富硒蔬菜基地等，以功能农业推动供给结构迈向中高端。坚持农产品营养化、功能化发展，大力推进药食同源产品开发，做大做强山西药茶和食药同源产业，把功能农业培育成农民增收、农业增效新的增长点。到2025年，全市完成功能农业产业布局和功能农产品加工布局，建成标准化功能农业园区20个，发展功能农业基地10万亩，培育发展功能农产品加工龙头企业50家，推动运城功能农业健康发展。</w:t>
      </w:r>
      <w:bookmarkStart w:id="230" w:name="_Toc16031"/>
    </w:p>
    <w:p w14:paraId="43E60A38">
      <w:pPr>
        <w:pStyle w:val="2"/>
        <w:spacing w:line="650" w:lineRule="exact"/>
        <w:outlineLvl w:val="2"/>
        <w:rPr>
          <w:rFonts w:hint="eastAsia" w:ascii="黑体" w:hAnsi="黑体" w:eastAsia="黑体" w:cs="方正楷体_GBK"/>
          <w:bCs/>
          <w:color w:val="auto"/>
          <w:kern w:val="2"/>
          <w:sz w:val="32"/>
          <w:szCs w:val="32"/>
          <w:lang w:val="en-US" w:eastAsia="zh-CN" w:bidi="ar-SA"/>
        </w:rPr>
      </w:pPr>
      <w:r>
        <w:rPr>
          <w:rFonts w:hint="eastAsia" w:ascii="黑体" w:hAnsi="黑体" w:eastAsia="黑体" w:cs="方正楷体_GBK"/>
          <w:bCs/>
          <w:color w:val="auto"/>
          <w:kern w:val="2"/>
          <w:sz w:val="32"/>
          <w:szCs w:val="32"/>
          <w:lang w:val="en-US" w:eastAsia="zh-CN" w:bidi="ar-SA"/>
        </w:rPr>
        <w:t>四、提高融合发展能力</w:t>
      </w:r>
    </w:p>
    <w:p w14:paraId="2E7D28CF">
      <w:pPr>
        <w:pStyle w:val="2"/>
        <w:spacing w:line="650" w:lineRule="exact"/>
        <w:rPr>
          <w:rFonts w:hint="eastAsia" w:ascii="仿宋_GB2312" w:hAnsi="仿宋_GB2312" w:eastAsia="仿宋_GB2312" w:cs="仿宋_GB2312"/>
          <w:color w:val="auto"/>
          <w:kern w:val="2"/>
          <w:sz w:val="32"/>
          <w:szCs w:val="32"/>
          <w:lang w:val="en-US" w:eastAsia="zh-CN" w:bidi="ar"/>
        </w:rPr>
      </w:pPr>
      <w:r>
        <w:rPr>
          <w:rFonts w:hint="eastAsia" w:ascii="仿宋_GB2312" w:hAnsi="仿宋_GB2312" w:eastAsia="仿宋_GB2312" w:cs="仿宋_GB2312"/>
          <w:color w:val="auto"/>
          <w:kern w:val="2"/>
          <w:sz w:val="32"/>
          <w:szCs w:val="32"/>
          <w:lang w:val="en-US" w:eastAsia="zh-CN" w:bidi="ar"/>
        </w:rPr>
        <w:t>鼓励产业集群和龙头企业发挥自身优势，推动各类资源要素跨界融合、集成集约，形成特色鲜明、丰富多样、一二三产业融合发展的农业全产业链。引导龙头企业立足资源特色，因地制宜发展乡村新型服务业、乡村制造业、乡村休闲旅游业等，贯通产加销服，融合农食文旅教，拓展农业多种功能，提高产业增值增效空间。鼓励龙头企业完善配送及综合服务网络，在大中城市郊区发展工厂化、立体化、园艺化农业，推广“生鲜电商+冷链宅配”“中央厨房+食材冷链配送”等新模式，提高鲜活农产品供应保障能力。</w:t>
      </w:r>
    </w:p>
    <w:p w14:paraId="6D804312">
      <w:pPr>
        <w:pStyle w:val="2"/>
        <w:spacing w:line="65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2"/>
          <w:sz w:val="32"/>
          <w:szCs w:val="32"/>
          <w:lang w:val="en-US" w:eastAsia="zh-CN" w:bidi="ar"/>
        </w:rPr>
        <w:t>提高龙头企业数字化发展能力。鼓励龙头企业应用数字技术，整合产业链上中下游的信息资源，打造产业互联网等生产性服务共享平台，带动上中下游各类主体协同发展，实现产业链整体转型提升。引导有条件的龙头企业建设乡村产业数字中心，加强对生产、加工、流通和服务等全链条的数字化改造，提高乡村产业全链条信息化、智能化水平。鼓励龙头企业应用区块链技术，加强产品溯源体系建设；采用大数据、云计算等技术，发展智慧农业，建立健全智能化、网络化的农业生产经营服务体系，为银行、保险等金融机构服务乡村产业提供信用支撑。</w:t>
      </w:r>
    </w:p>
    <w:p w14:paraId="17945C0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lang w:eastAsia="zh-CN"/>
        </w:rPr>
        <w:t>五</w:t>
      </w:r>
      <w:r>
        <w:rPr>
          <w:rFonts w:hint="eastAsia" w:ascii="黑体" w:hAnsi="黑体" w:eastAsia="黑体" w:cs="方正楷体_GBK"/>
          <w:bCs/>
          <w:color w:val="auto"/>
          <w:sz w:val="32"/>
          <w:szCs w:val="32"/>
        </w:rPr>
        <w:t>、推进农业产业园区建设</w:t>
      </w:r>
      <w:bookmarkEnd w:id="230"/>
    </w:p>
    <w:p w14:paraId="35B0224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聚力现代农业产业园和现代农业产业示范区建设，加快农业主导产业向园区集中，推动人才、土地、资本、科技、信息等现代要素向产业园区聚集，引导先进生产力“出城进园入农”，促进农业生产、加工、物流、研发、示范、服务等相互融合和全产业链开发，形成一批上下游紧密协作的农产品精深加工、贮藏保鲜、包装设计、电商物流等产业集群。以产业兴、农村美、生态优为导向，将产业园区建设与休闲观光、民俗风情有机结合，培育一批生产生态生活相融相促的乡土小村、特色小镇，形成产业围绕新村转、新村围绕产业建的乡村建设布局，促进乡村功能提升和农村人居环境改善。</w:t>
      </w:r>
      <w:bookmarkStart w:id="231" w:name="_Toc520647646"/>
      <w:bookmarkEnd w:id="231"/>
      <w:bookmarkStart w:id="232" w:name="_Toc159"/>
    </w:p>
    <w:p w14:paraId="29786A66">
      <w:pPr>
        <w:keepNext w:val="0"/>
        <w:keepLines w:val="0"/>
        <w:pageBreakBefore w:val="0"/>
        <w:widowControl w:val="0"/>
        <w:kinsoku/>
        <w:wordWrap/>
        <w:topLinePunct w:val="0"/>
        <w:autoSpaceDE/>
        <w:autoSpaceDN/>
        <w:bidi w:val="0"/>
        <w:spacing w:line="650" w:lineRule="exact"/>
        <w:ind w:left="0" w:leftChars="0" w:firstLine="640" w:firstLineChars="200"/>
        <w:textAlignment w:val="auto"/>
        <w:outlineLvl w:val="2"/>
        <w:rPr>
          <w:rFonts w:hint="eastAsia" w:ascii="黑体" w:hAnsi="黑体" w:eastAsia="黑体" w:cs="方正楷体_GBK"/>
          <w:bCs/>
          <w:color w:val="auto"/>
          <w:sz w:val="32"/>
          <w:szCs w:val="32"/>
          <w:lang w:eastAsia="zh-CN"/>
        </w:rPr>
      </w:pPr>
      <w:r>
        <w:rPr>
          <w:rFonts w:hint="eastAsia" w:ascii="黑体" w:hAnsi="黑体" w:eastAsia="黑体" w:cs="方正楷体_GBK"/>
          <w:bCs/>
          <w:color w:val="auto"/>
          <w:sz w:val="32"/>
          <w:szCs w:val="32"/>
          <w:lang w:eastAsia="zh-CN"/>
        </w:rPr>
        <w:t>六、加强保鲜储存冷链物流建设</w:t>
      </w:r>
    </w:p>
    <w:p w14:paraId="68087792">
      <w:pPr>
        <w:spacing w:line="650" w:lineRule="exact"/>
        <w:ind w:firstLine="640" w:firstLineChars="200"/>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落实国家《“十四五”冷链物流发展规划》，</w:t>
      </w:r>
      <w:r>
        <w:rPr>
          <w:rFonts w:hint="eastAsia" w:ascii="仿宋_GB2312" w:hAnsi="仿宋_GB2312" w:eastAsia="仿宋_GB2312" w:cs="仿宋_GB2312"/>
          <w:bCs/>
          <w:color w:val="auto"/>
          <w:sz w:val="32"/>
          <w:szCs w:val="32"/>
          <w:lang w:eastAsia="zh-CN"/>
        </w:rPr>
        <w:t>做好</w:t>
      </w:r>
      <w:r>
        <w:rPr>
          <w:rFonts w:hint="eastAsia" w:ascii="仿宋_GB2312" w:hAnsi="仿宋_GB2312" w:eastAsia="仿宋_GB2312" w:cs="仿宋_GB2312"/>
          <w:bCs/>
          <w:color w:val="auto"/>
          <w:sz w:val="32"/>
          <w:szCs w:val="32"/>
        </w:rPr>
        <w:t>优质农产品“内运外调”“保鲜储存”</w:t>
      </w:r>
      <w:r>
        <w:rPr>
          <w:rFonts w:hint="eastAsia" w:ascii="仿宋_GB2312" w:hAnsi="仿宋_GB2312" w:eastAsia="仿宋_GB2312" w:cs="仿宋_GB2312"/>
          <w:bCs/>
          <w:color w:val="auto"/>
          <w:sz w:val="32"/>
          <w:szCs w:val="32"/>
          <w:lang w:eastAsia="zh-CN"/>
        </w:rPr>
        <w:t>，</w:t>
      </w:r>
      <w:r>
        <w:rPr>
          <w:rFonts w:hint="eastAsia" w:ascii="仿宋_GB2312" w:hAnsi="仿宋_GB2312" w:eastAsia="仿宋_GB2312" w:cs="仿宋_GB2312"/>
          <w:bCs/>
          <w:color w:val="auto"/>
          <w:sz w:val="32"/>
          <w:szCs w:val="32"/>
        </w:rPr>
        <w:t>培育满足</w:t>
      </w:r>
      <w:r>
        <w:rPr>
          <w:rFonts w:hint="eastAsia" w:ascii="仿宋_GB2312" w:hAnsi="仿宋_GB2312" w:eastAsia="仿宋_GB2312" w:cs="仿宋_GB2312"/>
          <w:bCs/>
          <w:color w:val="auto"/>
          <w:sz w:val="32"/>
          <w:szCs w:val="32"/>
          <w:lang w:eastAsia="zh-CN"/>
        </w:rPr>
        <w:t>全市生产消费</w:t>
      </w:r>
      <w:r>
        <w:rPr>
          <w:rFonts w:hint="eastAsia" w:ascii="仿宋_GB2312" w:hAnsi="仿宋_GB2312" w:eastAsia="仿宋_GB2312" w:cs="仿宋_GB2312"/>
          <w:bCs/>
          <w:color w:val="auto"/>
          <w:sz w:val="32"/>
          <w:szCs w:val="32"/>
        </w:rPr>
        <w:t>需要、又物流四方的产业集群，形成产地与销地衔接、运输与仓配一体、物流与产业融合的冷链物流服务体系</w:t>
      </w:r>
      <w:r>
        <w:rPr>
          <w:rFonts w:hint="eastAsia" w:ascii="仿宋_GB2312" w:hAnsi="仿宋_GB2312" w:eastAsia="仿宋_GB2312" w:cs="仿宋_GB2312"/>
          <w:bCs/>
          <w:color w:val="auto"/>
          <w:sz w:val="32"/>
          <w:szCs w:val="32"/>
          <w:lang w:eastAsia="zh-CN"/>
        </w:rPr>
        <w:t>，</w:t>
      </w:r>
      <w:r>
        <w:rPr>
          <w:rFonts w:hint="eastAsia" w:ascii="仿宋_GB2312" w:hAnsi="仿宋_GB2312" w:eastAsia="仿宋_GB2312" w:cs="仿宋_GB2312"/>
          <w:bCs/>
          <w:color w:val="auto"/>
          <w:sz w:val="32"/>
          <w:szCs w:val="32"/>
        </w:rPr>
        <w:t>打造农业新业态。</w:t>
      </w:r>
    </w:p>
    <w:p w14:paraId="41B4E55A">
      <w:pPr>
        <w:spacing w:line="650" w:lineRule="exact"/>
        <w:ind w:firstLine="643" w:firstLineChars="200"/>
        <w:rPr>
          <w:rFonts w:hint="eastAsia" w:ascii="仿宋_GB2312" w:hAnsi="仿宋_GB2312" w:eastAsia="仿宋_GB2312" w:cs="仿宋_GB2312"/>
          <w:b/>
          <w:color w:val="auto"/>
          <w:sz w:val="32"/>
          <w:szCs w:val="32"/>
        </w:rPr>
      </w:pPr>
      <w:bookmarkStart w:id="233" w:name="_Toc11145"/>
      <w:r>
        <w:rPr>
          <w:rFonts w:hint="eastAsia" w:ascii="仿宋_GB2312" w:hAnsi="仿宋_GB2312" w:eastAsia="仿宋_GB2312" w:cs="仿宋_GB2312"/>
          <w:b/>
          <w:color w:val="auto"/>
          <w:sz w:val="32"/>
          <w:szCs w:val="32"/>
        </w:rPr>
        <w:t>重点工程：</w:t>
      </w:r>
      <w:bookmarkEnd w:id="233"/>
    </w:p>
    <w:p w14:paraId="0CE82CB7">
      <w:pPr>
        <w:spacing w:line="650" w:lineRule="exact"/>
        <w:ind w:firstLine="643" w:firstLineChars="200"/>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1.保鲜冷链物流基础工程建设</w:t>
      </w:r>
    </w:p>
    <w:p w14:paraId="34C7AEBC">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依托农产品优势产区，</w:t>
      </w:r>
      <w:r>
        <w:rPr>
          <w:rFonts w:hint="eastAsia" w:ascii="仿宋_GB2312" w:hAnsi="仿宋_GB2312" w:eastAsia="仿宋_GB2312" w:cs="仿宋_GB2312"/>
          <w:color w:val="auto"/>
          <w:sz w:val="32"/>
          <w:szCs w:val="32"/>
          <w:lang w:eastAsia="zh-CN"/>
        </w:rPr>
        <w:t>沿路、沿带和主产区</w:t>
      </w:r>
      <w:r>
        <w:rPr>
          <w:rFonts w:hint="eastAsia" w:ascii="仿宋_GB2312" w:hAnsi="仿宋_GB2312" w:eastAsia="仿宋_GB2312" w:cs="仿宋_GB2312"/>
          <w:color w:val="auto"/>
          <w:sz w:val="32"/>
          <w:szCs w:val="32"/>
        </w:rPr>
        <w:t>建设一批冷藏保鲜库，配置先进的冷藏车，完善冷链物流设施设备，结合新型城镇化建设，依托</w:t>
      </w:r>
      <w:r>
        <w:rPr>
          <w:rFonts w:hint="eastAsia" w:ascii="仿宋_GB2312" w:hAnsi="仿宋_GB2312" w:eastAsia="仿宋_GB2312" w:cs="仿宋_GB2312"/>
          <w:color w:val="auto"/>
          <w:sz w:val="32"/>
          <w:szCs w:val="32"/>
          <w:lang w:eastAsia="zh-CN"/>
        </w:rPr>
        <w:t>市区、</w:t>
      </w:r>
      <w:r>
        <w:rPr>
          <w:rFonts w:hint="eastAsia" w:ascii="仿宋_GB2312" w:hAnsi="仿宋_GB2312" w:eastAsia="仿宋_GB2312" w:cs="仿宋_GB2312"/>
          <w:color w:val="auto"/>
          <w:sz w:val="32"/>
          <w:szCs w:val="32"/>
        </w:rPr>
        <w:t>县城、重点镇布局建设一批产地冷链集配中心，强化产地预冷、仓储保鲜、分级分拣、初加工、产地直销等能力，优化完善县乡村冷链物流服务。打造</w:t>
      </w:r>
      <w:r>
        <w:rPr>
          <w:rFonts w:hint="eastAsia" w:ascii="仿宋_GB2312" w:hAnsi="仿宋_GB2312" w:eastAsia="仿宋_GB2312" w:cs="仿宋_GB2312"/>
          <w:color w:val="auto"/>
          <w:sz w:val="32"/>
          <w:szCs w:val="32"/>
          <w:lang w:eastAsia="zh-CN"/>
        </w:rPr>
        <w:t>运城</w:t>
      </w:r>
      <w:r>
        <w:rPr>
          <w:rFonts w:hint="eastAsia" w:ascii="仿宋_GB2312" w:hAnsi="仿宋_GB2312" w:eastAsia="仿宋_GB2312" w:cs="仿宋_GB2312"/>
          <w:color w:val="auto"/>
          <w:sz w:val="32"/>
          <w:szCs w:val="32"/>
        </w:rPr>
        <w:t>产销冷链集配中心；聚焦产地“最先一公里”和城市“最后一公里”，打造冷链快递、冷链共同配送、“生鲜电商+冷链宅配”、“中央厨房+食材冷链配送”等新业态新模式。</w:t>
      </w:r>
    </w:p>
    <w:p w14:paraId="553E57C6">
      <w:pPr>
        <w:spacing w:line="650" w:lineRule="exact"/>
        <w:ind w:firstLine="643" w:firstLineChars="200"/>
        <w:rPr>
          <w:rFonts w:ascii="Times New Roman" w:hAnsi="Times New Roman" w:eastAsia="仿宋"/>
          <w:b/>
          <w:bCs/>
          <w:color w:val="auto"/>
          <w:sz w:val="32"/>
          <w:szCs w:val="32"/>
        </w:rPr>
      </w:pPr>
      <w:r>
        <w:rPr>
          <w:rFonts w:hint="eastAsia" w:ascii="仿宋_GB2312" w:hAnsi="仿宋_GB2312" w:eastAsia="仿宋_GB2312" w:cs="仿宋_GB2312"/>
          <w:b/>
          <w:bCs/>
          <w:color w:val="auto"/>
          <w:sz w:val="32"/>
          <w:szCs w:val="32"/>
        </w:rPr>
        <w:t>2.冷链物流主体培育工程</w:t>
      </w:r>
    </w:p>
    <w:p w14:paraId="7B5C1E06">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适应不同农产品冷链物流要求，引导家庭农场、农民合作社、农村集体经济组织等在重点镇和中心村，结合实际需要分区分片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合理集中建设产地冷藏保鲜设施。推动新型农业经营主体发展农超对接、农批对接、农企对接、农社对接等农产品流通模式。鼓励产地冷链集配中心开展净菜、半成品加工，为餐饮企业、学校、机关团体等终端大客户提供直供直配服务；发展产地冷链物流设施设备租赁等社会化服务，探索发展共享式“田头小站”等移动冷库，提高产地源头冷链物流设施综合利用效率。</w:t>
      </w:r>
    </w:p>
    <w:p w14:paraId="0845E199">
      <w:pPr>
        <w:spacing w:line="650" w:lineRule="exact"/>
        <w:ind w:firstLine="643" w:firstLineChars="200"/>
        <w:rPr>
          <w:rFonts w:ascii="Times New Roman" w:hAnsi="Times New Roman" w:eastAsia="仿宋"/>
          <w:b/>
          <w:bCs/>
          <w:color w:val="auto"/>
          <w:sz w:val="32"/>
          <w:szCs w:val="32"/>
        </w:rPr>
      </w:pPr>
      <w:r>
        <w:rPr>
          <w:rFonts w:hint="eastAsia" w:ascii="仿宋_GB2312" w:hAnsi="仿宋_GB2312" w:eastAsia="仿宋_GB2312" w:cs="仿宋_GB2312"/>
          <w:b/>
          <w:bCs/>
          <w:color w:val="auto"/>
          <w:sz w:val="32"/>
          <w:szCs w:val="32"/>
        </w:rPr>
        <w:t>3.农产品产地商品化处理工程</w:t>
      </w:r>
    </w:p>
    <w:p w14:paraId="35377973">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新建或改造产地预冷设施，配备果蔬清洗、分级、分拣、切割、包装等设施设备。鼓励广泛使用冷链设施开展果蔬保鲜，大幅减少保鲜药物使用。推进商品化包装与冷链包装一体化，完善脱水干制、称量包装、检验检测、低损输送、质量管控等配套功能，提高果蔬产地商品化处理能力，减少流通损耗。</w:t>
      </w:r>
    </w:p>
    <w:p w14:paraId="3466039E">
      <w:pPr>
        <w:spacing w:line="650" w:lineRule="exact"/>
        <w:ind w:firstLine="643" w:firstLineChars="200"/>
        <w:rPr>
          <w:rFonts w:ascii="Times New Roman" w:hAnsi="Times New Roman" w:eastAsia="仿宋"/>
          <w:b/>
          <w:bCs/>
          <w:color w:val="auto"/>
          <w:sz w:val="32"/>
          <w:szCs w:val="32"/>
        </w:rPr>
      </w:pPr>
      <w:r>
        <w:rPr>
          <w:rFonts w:hint="eastAsia" w:ascii="仿宋_GB2312" w:hAnsi="仿宋_GB2312" w:eastAsia="仿宋_GB2312" w:cs="仿宋_GB2312"/>
          <w:b/>
          <w:bCs/>
          <w:color w:val="auto"/>
          <w:sz w:val="32"/>
          <w:szCs w:val="32"/>
        </w:rPr>
        <w:t>4.冷藏保鲜冷链物流信息化建设工程</w:t>
      </w:r>
    </w:p>
    <w:p w14:paraId="3A4FD599">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推进冷藏保鲜和冷链物流标准化、数字化、智能化、绿色化建设，推动冷链物流全流程、全要素数字化，鼓励冷链物流企业加大温度传感器、温度记录仪、无线射频识别（RFID）电子标签及自动识别终端、监控设备、电子围栏等设备的安装与应用力度，开展数字化冷库试点工作，肉类、果蔬、水产品产地低温处理率分别达到85%、30%、85%，农产品产后损失和食品流通浪费显著减少。</w:t>
      </w:r>
    </w:p>
    <w:p w14:paraId="0D7CCF96">
      <w:pPr>
        <w:spacing w:line="650" w:lineRule="exact"/>
        <w:ind w:firstLine="643" w:firstLineChars="200"/>
        <w:rPr>
          <w:rFonts w:ascii="Times New Roman" w:hAnsi="Times New Roman" w:eastAsia="仿宋"/>
          <w:b/>
          <w:bCs/>
          <w:color w:val="auto"/>
          <w:sz w:val="30"/>
          <w:szCs w:val="30"/>
        </w:rPr>
      </w:pPr>
      <w:r>
        <w:rPr>
          <w:rFonts w:hint="eastAsia" w:ascii="仿宋_GB2312" w:hAnsi="仿宋_GB2312" w:eastAsia="仿宋_GB2312" w:cs="仿宋_GB2312"/>
          <w:b/>
          <w:bCs/>
          <w:color w:val="auto"/>
          <w:sz w:val="32"/>
          <w:szCs w:val="32"/>
        </w:rPr>
        <w:t>5.</w:t>
      </w:r>
      <w:r>
        <w:rPr>
          <w:rFonts w:hint="eastAsia" w:ascii="仿宋_GB2312" w:hAnsi="仿宋_GB2312" w:eastAsia="仿宋_GB2312" w:cs="仿宋_GB2312"/>
          <w:b/>
          <w:bCs/>
          <w:color w:val="auto"/>
          <w:sz w:val="30"/>
          <w:szCs w:val="30"/>
        </w:rPr>
        <w:t>建立冷链物流追溯监管平台</w:t>
      </w:r>
    </w:p>
    <w:p w14:paraId="355AEA67">
      <w:pPr>
        <w:spacing w:line="65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按照</w:t>
      </w:r>
      <w:r>
        <w:rPr>
          <w:rFonts w:hint="eastAsia" w:ascii="仿宋_GB2312" w:hAnsi="仿宋_GB2312" w:eastAsia="仿宋_GB2312" w:cs="仿宋_GB2312"/>
          <w:color w:val="auto"/>
          <w:sz w:val="32"/>
          <w:szCs w:val="32"/>
        </w:rPr>
        <w:t>“政府监管、企业自管、行业自律、社会监督”的</w:t>
      </w:r>
      <w:r>
        <w:rPr>
          <w:rFonts w:hint="eastAsia" w:ascii="仿宋_GB2312" w:hAnsi="仿宋_GB2312" w:eastAsia="仿宋_GB2312" w:cs="仿宋_GB2312"/>
          <w:color w:val="auto"/>
          <w:sz w:val="32"/>
          <w:szCs w:val="32"/>
          <w:lang w:eastAsia="zh-CN"/>
        </w:rPr>
        <w:t>原则</w:t>
      </w:r>
      <w:r>
        <w:rPr>
          <w:rFonts w:hint="eastAsia" w:ascii="仿宋_GB2312" w:hAnsi="仿宋_GB2312" w:eastAsia="仿宋_GB2312" w:cs="仿宋_GB2312"/>
          <w:color w:val="auto"/>
          <w:sz w:val="32"/>
          <w:szCs w:val="32"/>
        </w:rPr>
        <w:t>。到2025年，基本建成现代冷链物流体系，设施网络、技术装备、服务质量达到国内先进水平，行业监管和治理能力基本实现现代化，有力支撑现代化经济体系建设，有效满足人民日益增长的美好生活需要。</w:t>
      </w:r>
    </w:p>
    <w:p w14:paraId="4AD5A7F8">
      <w:pPr>
        <w:keepNext w:val="0"/>
        <w:keepLines w:val="0"/>
        <w:pageBreakBefore w:val="0"/>
        <w:widowControl w:val="0"/>
        <w:kinsoku/>
        <w:wordWrap/>
        <w:topLinePunct w:val="0"/>
        <w:autoSpaceDE/>
        <w:autoSpaceDN/>
        <w:bidi w:val="0"/>
        <w:spacing w:line="650" w:lineRule="exact"/>
        <w:ind w:left="0" w:leftChars="0" w:firstLine="640" w:firstLineChars="200"/>
        <w:textAlignment w:val="auto"/>
        <w:outlineLvl w:val="2"/>
        <w:rPr>
          <w:rFonts w:ascii="黑体" w:hAnsi="黑体" w:eastAsia="黑体" w:cs="方正楷体_GBK"/>
          <w:bCs/>
          <w:color w:val="auto"/>
          <w:sz w:val="32"/>
          <w:szCs w:val="32"/>
        </w:rPr>
      </w:pPr>
      <w:r>
        <w:rPr>
          <w:rFonts w:hint="eastAsia" w:ascii="黑体" w:hAnsi="黑体" w:eastAsia="黑体" w:cs="方正楷体_GBK"/>
          <w:bCs/>
          <w:color w:val="auto"/>
          <w:sz w:val="32"/>
          <w:szCs w:val="32"/>
          <w:lang w:eastAsia="zh-CN"/>
        </w:rPr>
        <w:t>七、</w:t>
      </w:r>
      <w:r>
        <w:rPr>
          <w:rFonts w:hint="eastAsia" w:ascii="黑体" w:hAnsi="黑体" w:eastAsia="黑体" w:cs="方正楷体_GBK"/>
          <w:bCs/>
          <w:color w:val="auto"/>
          <w:sz w:val="32"/>
          <w:szCs w:val="32"/>
        </w:rPr>
        <w:t>促进</w:t>
      </w:r>
      <w:r>
        <w:rPr>
          <w:rFonts w:hint="eastAsia" w:ascii="黑体" w:hAnsi="黑体" w:eastAsia="黑体" w:cs="方正楷体_GBK"/>
          <w:bCs/>
          <w:color w:val="auto"/>
          <w:sz w:val="32"/>
          <w:szCs w:val="32"/>
          <w:lang w:eastAsia="zh-CN"/>
        </w:rPr>
        <w:t>乡村旅游</w:t>
      </w:r>
      <w:r>
        <w:rPr>
          <w:rFonts w:hint="eastAsia" w:ascii="黑体" w:hAnsi="黑体" w:eastAsia="黑体" w:cs="方正楷体_GBK"/>
          <w:bCs/>
          <w:color w:val="auto"/>
          <w:sz w:val="32"/>
          <w:szCs w:val="32"/>
        </w:rPr>
        <w:t>融合发展</w:t>
      </w:r>
    </w:p>
    <w:bookmarkEnd w:id="232"/>
    <w:p w14:paraId="6687D574">
      <w:pPr>
        <w:keepNext w:val="0"/>
        <w:keepLines w:val="0"/>
        <w:pageBreakBefore w:val="0"/>
        <w:widowControl/>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按照“政府主导、企业主体、市场运作、农民参与”的发展思路，</w:t>
      </w:r>
      <w:r>
        <w:rPr>
          <w:rFonts w:hint="eastAsia" w:ascii="仿宋_GB2312" w:hAnsi="仿宋_GB2312" w:eastAsia="仿宋_GB2312" w:cs="仿宋_GB2312"/>
          <w:color w:val="auto"/>
          <w:sz w:val="32"/>
          <w:szCs w:val="32"/>
          <w:lang w:eastAsia="zh-CN"/>
        </w:rPr>
        <w:t>依托盐湖、永济、芮城</w:t>
      </w:r>
      <w:r>
        <w:rPr>
          <w:rFonts w:hint="eastAsia" w:ascii="仿宋_GB2312" w:hAnsi="仿宋_GB2312" w:eastAsia="仿宋_GB2312" w:cs="仿宋_GB2312"/>
          <w:color w:val="auto"/>
          <w:sz w:val="32"/>
          <w:szCs w:val="32"/>
          <w:lang w:val="en-US" w:eastAsia="zh-CN"/>
        </w:rPr>
        <w:t>3个国家级休闲农业示范县建设，</w:t>
      </w:r>
      <w:r>
        <w:rPr>
          <w:rFonts w:hint="eastAsia" w:ascii="仿宋_GB2312" w:hAnsi="仿宋_GB2312" w:eastAsia="仿宋_GB2312" w:cs="仿宋_GB2312"/>
          <w:color w:val="auto"/>
          <w:sz w:val="32"/>
          <w:szCs w:val="32"/>
        </w:rPr>
        <w:t>加快布局“一圈三带”农林文旅康居融合发展示范区。“一圈”即：以盐临夏为核心，将关帝庙、盐湖、岚山根和生态智慧城连片，打造休闲观光、旅游采摘、森林康养、农事体验、科普教育等环城休闲观光农业圈。“三带”即：以黄河1号旅游公路为轴线，以后土祠、鹳雀楼、黄河大铁牛、永乐宫、小浪底水库等核心景点为依托，串珠成线，打造800里沿黄特色精品农业+农耕文化+黄河风情的沿黄生态保护和高质量发展示范带。以中条山国家级森林公园历山、五老峰等景区为核心，打造特色农业+森林山水+文旅康养的中条新生态文旅经济示范带。依托绵延百里的峨嵋黄土岭，打造特优果品+休闲采摘+黄土风情的峨嵋岭绿色产业示范带。</w:t>
      </w:r>
    </w:p>
    <w:p w14:paraId="73EDE875">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234" w:name="_Toc17686"/>
    </w:p>
    <w:p w14:paraId="47672606">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第七节</w:t>
      </w:r>
      <w:r>
        <w:rPr>
          <w:rFonts w:hint="eastAsia" w:ascii="楷体_GB2312" w:hAnsi="楷体_GB2312" w:eastAsia="楷体_GB2312" w:cs="楷体_GB2312"/>
          <w:bCs/>
          <w:color w:val="auto"/>
          <w:sz w:val="32"/>
          <w:szCs w:val="32"/>
          <w:lang w:val="en-US" w:eastAsia="zh-CN"/>
        </w:rPr>
        <w:t xml:space="preserve">  </w:t>
      </w:r>
      <w:r>
        <w:rPr>
          <w:rFonts w:hint="eastAsia" w:ascii="楷体_GB2312" w:hAnsi="楷体_GB2312" w:eastAsia="楷体_GB2312" w:cs="楷体_GB2312"/>
          <w:bCs/>
          <w:color w:val="auto"/>
          <w:sz w:val="32"/>
          <w:szCs w:val="32"/>
        </w:rPr>
        <w:t>巩固拓展脱贫攻坚成果同乡村振兴有效衔接</w:t>
      </w:r>
      <w:bookmarkEnd w:id="234"/>
    </w:p>
    <w:p w14:paraId="6C01D57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p>
    <w:p w14:paraId="4A320E2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全面做好脱贫县、脱贫村5年过渡期的各项成果巩固提升，确保不出现规模性返贫，推进脱贫县、脱贫村乡村振兴。</w:t>
      </w:r>
      <w:bookmarkStart w:id="235" w:name="_Toc19712"/>
    </w:p>
    <w:p w14:paraId="6A6F4A4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b/>
          <w:color w:val="auto"/>
          <w:sz w:val="32"/>
          <w:szCs w:val="32"/>
        </w:rPr>
      </w:pPr>
      <w:r>
        <w:rPr>
          <w:rFonts w:hint="eastAsia" w:ascii="黑体" w:hAnsi="黑体" w:eastAsia="黑体" w:cs="方正楷体_GBK"/>
          <w:bCs/>
          <w:color w:val="auto"/>
          <w:sz w:val="32"/>
          <w:szCs w:val="32"/>
        </w:rPr>
        <w:t>一、推进有效衔接机制建立</w:t>
      </w:r>
      <w:bookmarkEnd w:id="235"/>
    </w:p>
    <w:p w14:paraId="2500014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（一）推进政策体系衔接。</w:t>
      </w:r>
      <w:r>
        <w:rPr>
          <w:rFonts w:hint="eastAsia" w:ascii="仿宋_GB2312" w:hAnsi="仿宋_GB2312" w:eastAsia="仿宋_GB2312" w:cs="仿宋_GB2312"/>
          <w:color w:val="auto"/>
          <w:sz w:val="32"/>
          <w:szCs w:val="32"/>
        </w:rPr>
        <w:t>健全中央统筹、省负总责、市县乡抓落实的工作机制，由五级书记抓脱贫攻坚转向五级书记抓乡村振兴。在过渡期严格落实“四个不摘”要求（即：摘帽不摘责任，防止松劲懈怠；摘帽不摘政策，防止急刹车；摘帽不摘帮扶，防止一撤了之；摘帽不摘监管，防止贫困反弹），适应目标任务变化，对现有帮扶政策逐项分类优化调整。兜底救助、投入保障和要素支撑类政策保持稳定，基础设施建设、公共服务提升、产业就业支持、易地扶贫搬迁后续扶持等开发式帮扶政策调整优化、加大力度。教育、医疗、住房和饮水等民生保障普惠性政策，根据脱贫人口实际困难给予适度倾斜。各县（市、区）根据中央、省、市政策，从实际出发，对照“四个不摘”要求出台相应配套政策。新政策出台前，原有政策一律不能退，力度不能减，确保政策的连续性。</w:t>
      </w:r>
    </w:p>
    <w:p w14:paraId="3521A90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（二）推进工作体系衔接。</w:t>
      </w:r>
      <w:r>
        <w:rPr>
          <w:rFonts w:hint="eastAsia" w:ascii="仿宋_GB2312" w:hAnsi="仿宋_GB2312" w:eastAsia="仿宋_GB2312" w:cs="仿宋_GB2312"/>
          <w:color w:val="auto"/>
          <w:sz w:val="32"/>
          <w:szCs w:val="32"/>
        </w:rPr>
        <w:t>为保证扶贫工作的连续性、巩固成果的有效性和乡村振兴的持续性，乡村振兴部门要按需充实配强巩固脱贫成果工作力量，确保巩固拓展脱贫攻坚成果各项任务的落实。建立健全巩固拓展脱贫攻坚成果同乡村振兴有效衔接的干部帮扶队伍体系。继续落实好脱贫攻坚中出台的关心关爱扶贫干部的相关政策举措，</w:t>
      </w:r>
      <w:r>
        <w:rPr>
          <w:rFonts w:hint="eastAsia" w:ascii="仿宋_GB2312" w:hAnsi="仿宋_GB2312" w:eastAsia="仿宋_GB2312" w:cs="仿宋_GB2312"/>
          <w:color w:val="auto"/>
          <w:sz w:val="32"/>
          <w:szCs w:val="32"/>
          <w:lang w:eastAsia="zh-CN"/>
        </w:rPr>
        <w:t>持续开展消费帮扶工作，</w:t>
      </w:r>
      <w:r>
        <w:rPr>
          <w:rFonts w:hint="eastAsia" w:ascii="仿宋_GB2312" w:hAnsi="仿宋_GB2312" w:eastAsia="仿宋_GB2312" w:cs="仿宋_GB2312"/>
          <w:color w:val="auto"/>
          <w:sz w:val="32"/>
          <w:szCs w:val="32"/>
        </w:rPr>
        <w:t>统筹做好产业扶贫与产业振兴有效衔接，推动产业可持续性发展。统筹做好人才扶贫与人才振兴有效衔接，为巩固成果提供人才支撑和智力保障。统筹做好文化扶贫与文化振兴有效衔接，激发农村低收入人口内生动力。统筹做好生态扶贫与生态振兴有效衔接，建设生态宜居美丽乡村。统筹做好党建扶贫与组织振兴有效衔接，加强农村基层党组织的战斗堡垒作用。</w:t>
      </w:r>
    </w:p>
    <w:p w14:paraId="52F6E96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（三）推进产业发展衔接。</w:t>
      </w:r>
      <w:r>
        <w:rPr>
          <w:rFonts w:hint="eastAsia" w:ascii="仿宋_GB2312" w:hAnsi="仿宋_GB2312" w:eastAsia="仿宋_GB2312" w:cs="仿宋_GB2312"/>
          <w:color w:val="auto"/>
          <w:sz w:val="32"/>
          <w:szCs w:val="32"/>
        </w:rPr>
        <w:t>巩固提升在脱贫攻坚中扶持和培育起来的产业，把产业振兴作为根本之策，在“特”和“优”上下功夫，注重扶贫产业长期培育。以县为单位统一规划布局乡村产业，坚持脱贫村与非贫困村、脱贫户与非贫困户一体考虑，协同推进，依托农产品精深加工产业集群，加快产业项目全覆盖。加快仓储保鲜、冷链物流设施建设，培育一批区域性冷链物流骨干主体。推动各类新型经营主体与脱贫户建立稳定利益联结关系，引深“五有”产业扶贫机制建设，把农产品产业集群、省级龙头企业、旱作节水项目和省级粮食绿色高质高效创建项目、产业园区建设项目等政策、项目、资金优先安排重点帮扶县。</w:t>
      </w:r>
    </w:p>
    <w:p w14:paraId="4C471FC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（四）推进支撑要素衔接。</w:t>
      </w:r>
      <w:r>
        <w:rPr>
          <w:rFonts w:hint="eastAsia" w:ascii="仿宋_GB2312" w:hAnsi="仿宋_GB2312" w:eastAsia="仿宋_GB2312" w:cs="仿宋_GB2312"/>
          <w:color w:val="auto"/>
          <w:sz w:val="32"/>
          <w:szCs w:val="32"/>
        </w:rPr>
        <w:t>进一步完善财政投入政策衔接、金融服务政策衔接、土地支持政策衔接、人才支持政策衔接、扶贫项目资产衔接等，形成脱贫县乡村振兴有效发展支撑体系，尤其是在建设用地上，要优先向脱贫县安排，专项用于巩固拓展脱贫攻坚成果和乡村振兴。延续脱贫攻坚期间各项人才智力支持政策，根据巩固成果和乡村振兴的需要，建立健全引导各类人才服务巩固成果和乡村振兴的长效机制。深入推行科技特派员制度，加强脱贫县对高素质农民、新型经营主体、集体经济组织开展系统培训。</w:t>
      </w:r>
      <w:bookmarkStart w:id="236" w:name="_Toc5955"/>
    </w:p>
    <w:p w14:paraId="75E4CE1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二、实施基础设施改善提升工程</w:t>
      </w:r>
      <w:bookmarkEnd w:id="236"/>
    </w:p>
    <w:p w14:paraId="2D9D327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抢抓乡村建设行动契机，建立逐年财政专项扶贫资金增长机制，综合运用多种政策积极引导信贷资金和社会资金向脱贫地区、脱贫人口倾斜。加快补齐农村基础设施短板，加强农村路水电气网等基础设施提档升级。</w:t>
      </w:r>
      <w:r>
        <w:rPr>
          <w:rFonts w:hint="eastAsia" w:ascii="仿宋_GB2312" w:hAnsi="仿宋_GB2312" w:eastAsia="仿宋_GB2312" w:cs="仿宋_GB2312"/>
          <w:color w:val="auto"/>
          <w:sz w:val="32"/>
          <w:szCs w:val="32"/>
          <w:lang w:eastAsia="zh-CN"/>
        </w:rPr>
        <w:t>完善农业气象综合监测网络，提升农业气象灾害防范能力。</w:t>
      </w:r>
      <w:r>
        <w:rPr>
          <w:rFonts w:hint="eastAsia" w:ascii="仿宋_GB2312" w:hAnsi="仿宋_GB2312" w:eastAsia="仿宋_GB2312" w:cs="仿宋_GB2312"/>
          <w:color w:val="auto"/>
          <w:sz w:val="32"/>
          <w:szCs w:val="32"/>
        </w:rPr>
        <w:t>补齐公共服务设施短板，加快推进村级综合服务中心、农村电商配送点等公共服务设施。补齐生态环境短板，因地制宜推进农村厕所革命，全面推进农村生活垃圾、生活污水治理，推进畜禽粪污资源化利用和废旧农膜回收利用，推进农村清洁能源综合利用，优化农村能源结构，促进农村绿色低碳循环发展。到2025年，全市5个脱贫县和其余县（市、区）的脱贫乡村的生产基础设施现代化和生活基础设施便利化程度，要达到或接近全市平均水平。</w:t>
      </w:r>
      <w:bookmarkStart w:id="237" w:name="_Toc11432"/>
    </w:p>
    <w:p w14:paraId="263665B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三、实施乡村就业创业巩固提质工程</w:t>
      </w:r>
      <w:bookmarkEnd w:id="237"/>
    </w:p>
    <w:p w14:paraId="366B098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稳定和扩大农村劳动力转移就业，稳步提升就业质量。突出抓好农村劳动力建档立卡、技能培训、持证就业，提高就业层次、稳岗拓岗和工资性收入。按照“人人持证、技能社会”的总体思路，深入实施全民技能提升工程。加强生态护林员等公益岗位政策延续，强化公益岗位监督管理。延续支持扶贫车间等优惠政策。深入实施致富带头人培育工程。加大劳务输出组织力度，积极培育区域劳务品牌。坚持以创业带就业，引导农民工、大中专毕业生、退役军人、科技人员、工商业主等返乡留乡创新创业。到2025年，全市5个脱贫县都要创建一个影响力较大的就业品牌。</w:t>
      </w:r>
      <w:bookmarkStart w:id="238" w:name="_Toc350"/>
    </w:p>
    <w:p w14:paraId="478867A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四、实施易地扶贫搬迁后续扶持工程</w:t>
      </w:r>
      <w:bookmarkEnd w:id="238"/>
    </w:p>
    <w:p w14:paraId="3ABA9B7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加强对全市集中安置区的后续扶持，巩固好安置住房确权和产业就业、公共服务、社区建设、管理等问题。高度重视人口规模较大的集中安置区，集中力量解决好群众反映强烈的问题，持续抓牢产业就业和社区治理，配套完善基础设施和公共服务设施，全力推动实施一批易地扶贫搬迁后续扶持项目，推动安置区的配套产业园区和产业项目落地，引导加工业等劳动密集型产业向安置区周边合理聚集。发挥基层党组织领导核心作用，加强安置社区自治组织建设，加快补齐集中安置区基础设施和公共服务短板，完善创新安置社区社会治理机制，促进搬迁群众尽快融入新社区、适应新生活，确保稳得住、有就业、逐步能致富。</w:t>
      </w:r>
    </w:p>
    <w:p w14:paraId="562EA797">
      <w:pPr>
        <w:pStyle w:val="2"/>
        <w:keepNext w:val="0"/>
        <w:keepLines w:val="0"/>
        <w:pageBreakBefore w:val="0"/>
        <w:widowControl w:val="0"/>
        <w:kinsoku/>
        <w:wordWrap/>
        <w:topLinePunct w:val="0"/>
        <w:autoSpaceDE/>
        <w:autoSpaceDN/>
        <w:bidi w:val="0"/>
        <w:spacing w:line="650" w:lineRule="exact"/>
        <w:ind w:left="0" w:leftChars="0" w:firstLine="640"/>
        <w:textAlignment w:val="auto"/>
        <w:rPr>
          <w:rFonts w:ascii="仿宋" w:hAnsi="仿宋" w:eastAsia="仿宋" w:cs="仿宋"/>
          <w:color w:val="auto"/>
          <w:sz w:val="32"/>
          <w:szCs w:val="32"/>
        </w:rPr>
      </w:pPr>
    </w:p>
    <w:p w14:paraId="7F50FA74">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bookmarkStart w:id="239" w:name="_Toc520647654"/>
      <w:bookmarkStart w:id="240" w:name="_Toc12344"/>
      <w:r>
        <w:rPr>
          <w:rFonts w:hint="eastAsia" w:ascii="黑体" w:hAnsi="黑体" w:eastAsia="黑体" w:cs="黑体"/>
          <w:bCs/>
          <w:color w:val="auto"/>
          <w:sz w:val="36"/>
          <w:szCs w:val="36"/>
        </w:rPr>
        <w:t>第四章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全面推进乡村建设</w:t>
      </w:r>
      <w:bookmarkEnd w:id="239"/>
      <w:bookmarkEnd w:id="240"/>
    </w:p>
    <w:p w14:paraId="57125F47">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3" w:firstLineChars="200"/>
        <w:jc w:val="center"/>
        <w:textAlignment w:val="auto"/>
        <w:rPr>
          <w:rFonts w:ascii="仿宋" w:hAnsi="仿宋" w:eastAsia="仿宋" w:cs="仿宋"/>
          <w:b/>
          <w:bCs/>
          <w:color w:val="auto"/>
          <w:sz w:val="32"/>
          <w:szCs w:val="32"/>
        </w:rPr>
      </w:pPr>
    </w:p>
    <w:p w14:paraId="4DE6A4B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把乡村建设摆在社会主义现代化建设的重要位置，全面推动实施乡村振兴战略，强化以工补农、以城带乡，推动形成工农互促、城乡互补、协调发展、共同繁荣的新型工农城乡关系，打造运城宜居、宜业、宜游、宜养的高品质乡村环境。</w:t>
      </w:r>
    </w:p>
    <w:p w14:paraId="5C7FFB99">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3" w:firstLineChars="200"/>
        <w:jc w:val="center"/>
        <w:textAlignment w:val="auto"/>
        <w:rPr>
          <w:rFonts w:ascii="仿宋" w:hAnsi="仿宋" w:eastAsia="仿宋" w:cs="仿宋"/>
          <w:b/>
          <w:bCs/>
          <w:color w:val="auto"/>
          <w:sz w:val="32"/>
          <w:szCs w:val="32"/>
        </w:rPr>
      </w:pPr>
    </w:p>
    <w:p w14:paraId="57337637">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241" w:name="_Toc520647655"/>
      <w:bookmarkStart w:id="242" w:name="_Toc6571"/>
      <w:r>
        <w:rPr>
          <w:rFonts w:hint="eastAsia" w:ascii="楷体_GB2312" w:hAnsi="楷体_GB2312" w:eastAsia="楷体_GB2312" w:cs="楷体_GB2312"/>
          <w:bCs/>
          <w:color w:val="auto"/>
          <w:sz w:val="32"/>
          <w:szCs w:val="32"/>
        </w:rPr>
        <w:t>第一节  打造乡村绿色生态环境</w:t>
      </w:r>
      <w:bookmarkEnd w:id="241"/>
      <w:bookmarkEnd w:id="242"/>
    </w:p>
    <w:p w14:paraId="2DC8AD69">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p>
    <w:p w14:paraId="08A18CB6">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以绿色运城、洁净运城、美丽运城为目标，以“山水加绿、通道增色、村庄添景、庭院有美”为抓手，高标准、大力度全面铺开生态环境建设，全面实现山水生态化、农村园林化、村庄公园化和道路景观化，以生态提升工程，建设美丽运城。</w:t>
      </w:r>
      <w:bookmarkStart w:id="243" w:name="_Toc17534"/>
      <w:bookmarkStart w:id="244" w:name="_Toc520647656"/>
    </w:p>
    <w:p w14:paraId="3B4A0FD7">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一、总体布局</w:t>
      </w:r>
      <w:bookmarkEnd w:id="243"/>
      <w:bookmarkEnd w:id="244"/>
    </w:p>
    <w:p w14:paraId="4D5E91D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照“沿流域按山系集中布局，以生态脆弱区、重要水源地为重点”，实施大规模植树造林，推进城乡绿化全覆盖；加强永久性生态公益林保护，持之以恒构建生态屏障、绿色长城。围绕“山、水、林、路、湖、草、景”主体框架，针对运城湿地资源和生态、文化、产业特点，构建“一圈、二山、两岭、三河、纵横线”开放性的生态系统，实现新绿、新景、新生态。</w:t>
      </w:r>
    </w:p>
    <w:p w14:paraId="46AD7FC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一圈：环城生态屏障圈。</w:t>
      </w:r>
    </w:p>
    <w:p w14:paraId="7D2FAE4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二山：中条山、稷王山生态修复。</w:t>
      </w:r>
    </w:p>
    <w:p w14:paraId="50FDCF2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两岭：峨嵋岭、鸣条岗</w:t>
      </w:r>
    </w:p>
    <w:p w14:paraId="324F581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三河：黄河、汾河、涑水河。</w:t>
      </w:r>
    </w:p>
    <w:p w14:paraId="4F16AE4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纵横线：指市域综合延伸的主干道、环城线、旅游路。</w:t>
      </w:r>
    </w:p>
    <w:p w14:paraId="5D7C87C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245" w:name="_Toc520647657"/>
      <w:r>
        <w:rPr>
          <w:rFonts w:hint="eastAsia" w:ascii="仿宋_GB2312" w:hAnsi="仿宋_GB2312" w:eastAsia="仿宋_GB2312" w:cs="仿宋_GB2312"/>
          <w:color w:val="auto"/>
          <w:sz w:val="32"/>
          <w:szCs w:val="32"/>
        </w:rPr>
        <w:t>对以上节点进行高标准绿化和生态修复，奠定运城生态之城、森林之城的建设基础。</w:t>
      </w:r>
      <w:bookmarkEnd w:id="245"/>
      <w:bookmarkStart w:id="246" w:name="_Toc29419"/>
      <w:bookmarkStart w:id="247" w:name="_Toc520647658"/>
    </w:p>
    <w:p w14:paraId="614B7CC9">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黑体" w:hAnsi="黑体" w:eastAsia="黑体" w:cs="方正楷体_GBK"/>
          <w:bCs/>
          <w:color w:val="auto"/>
          <w:sz w:val="32"/>
          <w:szCs w:val="32"/>
        </w:rPr>
        <w:t>二、推进河湖水系生态修复与保护</w:t>
      </w:r>
      <w:bookmarkEnd w:id="246"/>
    </w:p>
    <w:p w14:paraId="40062CF5">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实施黄河、汾河、涑水河流域生态修复治理，创新生态修复治理市场化运作机制，打造沿河生态走廊。全面修复三河两侧生态林带和荒山植被，建设和恢复沿河湿地。对黄河、汾河水土流失和土地沙化严重地段，根据地形、地貌、土壤、气候等特点，以提高水土保持和水源涵养功能为目标，乔灌结合、针阔混交、多树种配置、多模式建设，打造具有本土特色的水土保持林和防风固沙林，构建稳定的水土保持和生态林带体系。对沿主河道两侧村庄、道路、荒山全面绿化，实现生态环境、人居环境全面改善提升。推进盐湖、伍姓湖生态修复与保护，建设自然湿地生态公园。打造盐池特色湿地生态公园，实施退盐还湖和沿岸生态绿化。加强伍姓湖</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湖泊湿地生态系统的保护，加大对黄河鲤鱼、黄河甲鱼</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圣天湖鲶鱼等国家级水产种质资源的保护。</w:t>
      </w:r>
      <w:bookmarkStart w:id="248" w:name="_Toc28070"/>
      <w:bookmarkStart w:id="249" w:name="_Toc520647659"/>
    </w:p>
    <w:p w14:paraId="58B10663">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仿宋"/>
          <w:color w:val="auto"/>
          <w:sz w:val="32"/>
          <w:szCs w:val="32"/>
        </w:rPr>
      </w:pPr>
      <w:r>
        <w:rPr>
          <w:rFonts w:hint="eastAsia" w:ascii="黑体" w:hAnsi="黑体" w:eastAsia="黑体" w:cs="方正楷体_GBK"/>
          <w:bCs/>
          <w:color w:val="auto"/>
          <w:sz w:val="32"/>
          <w:szCs w:val="32"/>
        </w:rPr>
        <w:t>三、推动城乡生态屏障保护提升</w:t>
      </w:r>
      <w:bookmarkEnd w:id="248"/>
    </w:p>
    <w:bookmarkEnd w:id="249"/>
    <w:p w14:paraId="05A30DF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加快推动“盐临夏”中心城市圈环城生态保护屏障建设。南部重点推进南山森林公园建设，打造集观光、休闲、娱乐、健身为一体的城郊森林公园，东北部大力推进鸣条岗经济林、生态林建设，全面提升运城环城生态景观。坚持“突出防护功能，体现美化效果，兼顾经济效益”原则，加强县域高速公路出入口以及省道、县道、乡道等通道沿线增色添景，使通道沿线成为一道亮丽的风景线、经济线和致富线，全面提升运城县乡村旅游品位。加强农田林网工程建设，重点抓好平川乡镇粮果菜主产区和川丘过渡区的农田林网建设，逐步形成网、带、片、点相结合，路、林、渠、田相配套，功能齐全，特色明显的高标准平川绿化体系。加快乡村绿化美化建设，打造生态景观型、生态经济型、生态文化型绿色家园，推动实现山水生态化、农村园林化、村庄公园化、道路景观化、庭院花果化和农田林网化。到2025年，全市城乡生态环境得到有效改善，初步呈现城乡居民“抬头见绿、移步见景、村在林中、院在绿中、人在景中”的城乡绿色生态格局。</w:t>
      </w:r>
      <w:bookmarkStart w:id="250" w:name="_Toc29537"/>
    </w:p>
    <w:p w14:paraId="7E6A0488">
      <w:pPr>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w:t>
      </w:r>
      <w:bookmarkEnd w:id="247"/>
      <w:r>
        <w:rPr>
          <w:rFonts w:hint="eastAsia" w:ascii="黑体" w:hAnsi="黑体" w:eastAsia="黑体" w:cs="方正楷体_GBK"/>
          <w:bCs/>
          <w:color w:val="auto"/>
          <w:sz w:val="32"/>
          <w:szCs w:val="32"/>
        </w:rPr>
        <w:t>高质量建设生态走廊</w:t>
      </w:r>
      <w:bookmarkEnd w:id="250"/>
    </w:p>
    <w:p w14:paraId="134A89F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以创建黄河流域（运城段）生态保护和高质量发展示范区、建强建优晋南市域中心城市、构建全国新发展格局关键环节城市为牵引，加快推进“五条绿色走廊”建设，着力塑造运城宜居、宜业、宜乐、宜游的优美环境。</w:t>
      </w:r>
    </w:p>
    <w:p w14:paraId="2EDE2A1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（一）</w:t>
      </w:r>
      <w:r>
        <w:rPr>
          <w:rFonts w:hint="eastAsia" w:ascii="楷体_GB2312" w:hAnsi="楷体_GB2312" w:eastAsia="楷体_GB2312" w:cs="楷体_GB2312"/>
          <w:color w:val="auto"/>
          <w:sz w:val="32"/>
          <w:szCs w:val="32"/>
          <w:lang w:val="zh-CN"/>
        </w:rPr>
        <w:t>沿</w:t>
      </w:r>
      <w:r>
        <w:rPr>
          <w:rFonts w:hint="eastAsia" w:ascii="楷体_GB2312" w:hAnsi="楷体_GB2312" w:eastAsia="楷体_GB2312" w:cs="楷体_GB2312"/>
          <w:color w:val="auto"/>
          <w:sz w:val="32"/>
          <w:szCs w:val="32"/>
        </w:rPr>
        <w:t>黄美丽乡村示范带。</w:t>
      </w:r>
      <w:r>
        <w:rPr>
          <w:rFonts w:hint="eastAsia" w:ascii="仿宋_GB2312" w:hAnsi="仿宋_GB2312" w:eastAsia="仿宋_GB2312" w:cs="仿宋_GB2312"/>
          <w:color w:val="auto"/>
          <w:sz w:val="32"/>
          <w:szCs w:val="32"/>
        </w:rPr>
        <w:t>以沿黄河8县（市）为重点，结合黄河流域（运城段）生态保护和高质量发展示范区创建，实施沿黄美丽乡村“1+5”工程（以黄河一号旅游公路为引领，打造特优农业、生态保护、文旅融合、美丽乡村、特色小镇五大基地），以黄河一号旅游公路为纽带，串联沿线生态资源、农业资源、文化资源、乡村旅游资源，创新</w:t>
      </w:r>
      <w:r>
        <w:rPr>
          <w:rFonts w:hint="eastAsia" w:ascii="仿宋_GB2312" w:hAnsi="仿宋_GB2312" w:eastAsia="仿宋_GB2312" w:cs="仿宋_GB2312"/>
          <w:color w:val="auto"/>
          <w:sz w:val="32"/>
          <w:szCs w:val="32"/>
          <w:lang w:val="zh-CN"/>
        </w:rPr>
        <w:t>“黄</w:t>
      </w:r>
      <w:r>
        <w:rPr>
          <w:rFonts w:hint="eastAsia" w:ascii="仿宋_GB2312" w:hAnsi="仿宋_GB2312" w:eastAsia="仿宋_GB2312" w:cs="仿宋_GB2312"/>
          <w:color w:val="auto"/>
          <w:sz w:val="32"/>
          <w:szCs w:val="32"/>
        </w:rPr>
        <w:t>河公路+”模式，促进交旅、农旅、文旅等融合发展。到2025年，创建200个左右美丽宜居示范乡村，与黄河一号旅游公路及主干道串点成线、连片成带，形成示范效应，打造一条集旅游带、景观带、生态带、民生带、幸福带于一体，充分彰显运城特色的黄河文化风情体验带。</w:t>
      </w:r>
    </w:p>
    <w:p w14:paraId="247F0A8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（二）</w:t>
      </w:r>
      <w:r>
        <w:rPr>
          <w:rFonts w:hint="eastAsia" w:ascii="楷体_GB2312" w:hAnsi="楷体_GB2312" w:eastAsia="楷体_GB2312" w:cs="楷体_GB2312"/>
          <w:color w:val="auto"/>
          <w:sz w:val="32"/>
          <w:szCs w:val="32"/>
          <w:lang w:val="zh-CN" w:eastAsia="zh-CN"/>
        </w:rPr>
        <w:t>沿汾</w:t>
      </w:r>
      <w:r>
        <w:rPr>
          <w:rFonts w:hint="eastAsia" w:ascii="楷体_GB2312" w:hAnsi="楷体_GB2312" w:eastAsia="楷体_GB2312" w:cs="楷体_GB2312"/>
          <w:color w:val="auto"/>
          <w:sz w:val="32"/>
          <w:szCs w:val="32"/>
          <w:lang w:val="en-US" w:eastAsia="zh-CN"/>
        </w:rPr>
        <w:t>生态文旅融合示范带。</w:t>
      </w:r>
      <w:r>
        <w:rPr>
          <w:rFonts w:hint="eastAsia" w:ascii="仿宋_GB2312" w:hAnsi="仿宋_GB2312" w:eastAsia="仿宋_GB2312" w:cs="仿宋_GB2312"/>
          <w:color w:val="auto"/>
          <w:sz w:val="32"/>
          <w:szCs w:val="32"/>
          <w:lang w:val="en-US" w:eastAsia="zh-CN"/>
        </w:rPr>
        <w:t>围绕145公里的汾河岸线，聚焦</w:t>
      </w:r>
      <w:r>
        <w:rPr>
          <w:rFonts w:hint="eastAsia" w:ascii="仿宋_GB2312" w:hAnsi="仿宋_GB2312" w:eastAsia="仿宋_GB2312" w:cs="仿宋_GB2312"/>
          <w:color w:val="auto"/>
          <w:sz w:val="32"/>
          <w:szCs w:val="32"/>
          <w:lang w:val="zh-CN" w:eastAsia="zh-CN"/>
        </w:rPr>
        <w:t>“水</w:t>
      </w:r>
      <w:r>
        <w:rPr>
          <w:rFonts w:hint="eastAsia" w:ascii="仿宋_GB2312" w:hAnsi="仿宋_GB2312" w:eastAsia="仿宋_GB2312" w:cs="仿宋_GB2312"/>
          <w:color w:val="auto"/>
          <w:sz w:val="32"/>
          <w:szCs w:val="32"/>
          <w:lang w:val="en-US" w:eastAsia="zh-CN"/>
        </w:rPr>
        <w:t>量丰起来、水质好起来、风光美起来”目标，在狠抓</w:t>
      </w:r>
      <w:r>
        <w:rPr>
          <w:rFonts w:hint="eastAsia" w:ascii="仿宋_GB2312" w:hAnsi="仿宋_GB2312" w:eastAsia="仿宋_GB2312" w:cs="仿宋_GB2312"/>
          <w:color w:val="auto"/>
          <w:sz w:val="32"/>
          <w:szCs w:val="32"/>
          <w:lang w:val="zh-CN" w:eastAsia="zh-CN"/>
        </w:rPr>
        <w:t>“控</w:t>
      </w:r>
      <w:r>
        <w:rPr>
          <w:rFonts w:hint="eastAsia" w:ascii="仿宋_GB2312" w:hAnsi="仿宋_GB2312" w:eastAsia="仿宋_GB2312" w:cs="仿宋_GB2312"/>
          <w:color w:val="auto"/>
          <w:sz w:val="32"/>
          <w:szCs w:val="32"/>
          <w:lang w:val="en-US" w:eastAsia="zh-CN"/>
        </w:rPr>
        <w:t>污、清淤、增湿、覆绿、调水</w:t>
      </w:r>
      <w:r>
        <w:rPr>
          <w:rFonts w:hint="eastAsia" w:ascii="仿宋_GB2312" w:hAnsi="仿宋_GB2312" w:eastAsia="仿宋_GB2312" w:cs="仿宋_GB2312"/>
          <w:color w:val="auto"/>
          <w:sz w:val="32"/>
          <w:szCs w:val="32"/>
          <w:lang w:val="zh-CN" w:eastAsia="zh-CN"/>
        </w:rPr>
        <w:t>”的</w:t>
      </w:r>
      <w:r>
        <w:rPr>
          <w:rFonts w:hint="eastAsia" w:ascii="仿宋_GB2312" w:hAnsi="仿宋_GB2312" w:eastAsia="仿宋_GB2312" w:cs="仿宋_GB2312"/>
          <w:color w:val="auto"/>
          <w:sz w:val="32"/>
          <w:szCs w:val="32"/>
          <w:lang w:val="en-US" w:eastAsia="zh-CN"/>
        </w:rPr>
        <w:t>同时，对标黄河一号旅游公路建设标准，统筹建设汾河旅游公路</w:t>
      </w:r>
      <w:r>
        <w:rPr>
          <w:rFonts w:hint="eastAsia" w:ascii="仿宋_GB2312" w:hAnsi="仿宋_GB2312" w:eastAsia="仿宋_GB2312" w:cs="仿宋_GB2312"/>
          <w:color w:val="auto"/>
          <w:sz w:val="32"/>
          <w:szCs w:val="32"/>
          <w:lang w:val="zh-CN" w:eastAsia="zh-CN"/>
        </w:rPr>
        <w:t>“主</w:t>
      </w:r>
      <w:r>
        <w:rPr>
          <w:rFonts w:hint="eastAsia" w:ascii="仿宋_GB2312" w:hAnsi="仿宋_GB2312" w:eastAsia="仿宋_GB2312" w:cs="仿宋_GB2312"/>
          <w:color w:val="auto"/>
          <w:sz w:val="32"/>
          <w:szCs w:val="32"/>
          <w:lang w:val="en-US" w:eastAsia="zh-CN"/>
        </w:rPr>
        <w:t>体系统、慢行系统、服务系统、信息系统、景观系统”五大系统。到2025年，流域水生态系统得到全面恢复，水资源得到合理利用，生物多样性得到有效保护，入河水质达到地表V类以上，实现</w:t>
      </w:r>
      <w:r>
        <w:rPr>
          <w:rFonts w:hint="eastAsia" w:ascii="仿宋_GB2312" w:hAnsi="仿宋_GB2312" w:eastAsia="仿宋_GB2312" w:cs="仿宋_GB2312"/>
          <w:color w:val="auto"/>
          <w:sz w:val="32"/>
          <w:szCs w:val="32"/>
          <w:lang w:val="zh-CN" w:eastAsia="zh-CN"/>
        </w:rPr>
        <w:t>“一</w:t>
      </w:r>
      <w:r>
        <w:rPr>
          <w:rFonts w:hint="eastAsia" w:ascii="仿宋_GB2312" w:hAnsi="仿宋_GB2312" w:eastAsia="仿宋_GB2312" w:cs="仿宋_GB2312"/>
          <w:color w:val="auto"/>
          <w:sz w:val="32"/>
          <w:szCs w:val="32"/>
          <w:lang w:val="en-US" w:eastAsia="zh-CN"/>
        </w:rPr>
        <w:t>泓清水入黄河”，重现“水清岸绿、鱼翔浅底”的秀美风光，把汾河流域（运城段）打造成自然景观与人文景观交相辉映的水利长廊、生态长廊、文旅长廊。</w:t>
      </w:r>
    </w:p>
    <w:p w14:paraId="458AB57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（三）沿涑水河田园风光示范带</w:t>
      </w:r>
      <w:r>
        <w:rPr>
          <w:rFonts w:hint="eastAsia" w:ascii="仿宋_GB2312" w:hAnsi="仿宋_GB2312" w:eastAsia="仿宋_GB2312" w:cs="仿宋_GB2312"/>
          <w:color w:val="auto"/>
          <w:sz w:val="32"/>
          <w:szCs w:val="32"/>
          <w:lang w:val="en-US" w:eastAsia="zh-CN"/>
        </w:rPr>
        <w:t>。围绕200公里的涑水河岸线，突出抓好控污、清淤、添绿、畅通、增产，统筹山水林田湖草系统治理，进一步涵养水源、增加水量、净化水质，推动涑水河复流。对沿涑水河景观规划实施产业融入，融合农耕文化，建设特色农产品釆摘园和农耕游赏湿地公园、田园风光等水文化景观。在干支流两侧农田区域，优先导入特色产业，大力发展特色种植、农产品加工、生态康养服务等产业，夯实绿色产业支撑。到2025年，实现工业企业废水治理设施提标改造，确保沿线规模养殖场全部建成粪污处理设施，建成50家以上田园综合体，实现经济发展与生态文明水平提高相促进。</w:t>
      </w:r>
    </w:p>
    <w:p w14:paraId="5261F72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zh-CN" w:eastAsia="zh-CN"/>
        </w:rPr>
        <w:t>（四）绿水青山中</w:t>
      </w:r>
      <w:r>
        <w:rPr>
          <w:rFonts w:hint="eastAsia" w:ascii="楷体_GB2312" w:hAnsi="楷体_GB2312" w:eastAsia="楷体_GB2312" w:cs="楷体_GB2312"/>
          <w:color w:val="auto"/>
          <w:sz w:val="32"/>
          <w:szCs w:val="32"/>
          <w:lang w:val="en-US" w:eastAsia="zh-CN"/>
        </w:rPr>
        <w:t>条新生态文旅经济示范带</w:t>
      </w:r>
      <w:r>
        <w:rPr>
          <w:rFonts w:hint="eastAsia" w:ascii="楷体_GB2312" w:hAnsi="楷体_GB2312" w:eastAsia="楷体_GB2312" w:cs="楷体_GB2312"/>
          <w:color w:val="auto"/>
          <w:sz w:val="32"/>
          <w:szCs w:val="32"/>
          <w:lang w:val="zh-CN" w:eastAsia="zh-CN"/>
        </w:rPr>
        <w:t>。</w:t>
      </w:r>
      <w:r>
        <w:rPr>
          <w:rFonts w:hint="eastAsia" w:ascii="仿宋_GB2312" w:hAnsi="仿宋_GB2312" w:eastAsia="仿宋_GB2312" w:cs="仿宋_GB2312"/>
          <w:color w:val="auto"/>
          <w:sz w:val="32"/>
          <w:szCs w:val="32"/>
          <w:lang w:val="en-US" w:eastAsia="zh-CN"/>
        </w:rPr>
        <w:t>以中条山生态廊道为脉，串联沿线五老峰、凤凰谷、泗交、历山等景区，融合生态空间、历史文化空间、休闲游憩空间，做优生态，做活文化，积极发展生态观光、文化旅游、山地运动、健康养老等生态经济，构建生态保护修复扎实有力、生态文化价值转化活跃充分、生态文化旅游融合创新发展的新生态文旅经济带。到2025年，将关公故里旅游区、运城盐湖、永乐宫、鹳雀楼、普救寺、关帝庙、五老峰、雪花山、凤凰谷、历山等景区，以及嫘祖养蚕、伯乐相马、假虞伐虢、舜耕历山等文化明珠有机串联，完善自驾休闲、康养健身、歌舞演艺、体育赛事、探秘体验、考察研学、特色小镇、乡村旅游、田园综合体等文旅产品体系，打造服务黄河金三角三省四市、辐射关中平原城市群和中原城市群的全国知名生态文旅康养福地。</w:t>
      </w:r>
    </w:p>
    <w:p w14:paraId="163B972D">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（五）峨嵋岭绿色产业示范带。</w:t>
      </w:r>
      <w:r>
        <w:rPr>
          <w:rFonts w:hint="eastAsia" w:ascii="仿宋_GB2312" w:hAnsi="仿宋_GB2312" w:eastAsia="仿宋_GB2312" w:cs="仿宋_GB2312"/>
          <w:color w:val="auto"/>
          <w:sz w:val="32"/>
          <w:szCs w:val="32"/>
          <w:lang w:val="en-US" w:eastAsia="zh-CN"/>
        </w:rPr>
        <w:t>以临猗、万荣、闻喜、稷山、新绛等县台地为依托，自西向东串联孤峰山、稷王山等农林生态资源，打造以粮食种植、特色农林业发展为主的绿色产业发展走廊。因地制宜发展苹果、冬枣、核桃、石榴、杜仲、柴胡等特色林果和中药材产业，大力发展观光农业、城郊农业、设施农业，积极打造绿色农林特色产品生产基地，做好“农文旅”融合发展新文章，提高特色绿色农产品品牌影响力和经济价值。到2025年，培育形成“运城面粉”“运城苹果”“运城蔬菜”三大区域公用品牌，区域农业农村现代化走在全省前列，将峨嵋岭打造成为现代农业强市的</w:t>
      </w:r>
      <w:r>
        <w:rPr>
          <w:rFonts w:hint="eastAsia" w:ascii="方正仿宋_GBK" w:hAnsi="方正仿宋_GBK" w:eastAsia="方正仿宋_GBK" w:cs="方正仿宋_GBK"/>
          <w:color w:val="auto"/>
          <w:sz w:val="32"/>
          <w:szCs w:val="32"/>
          <w:lang w:val="en-US" w:eastAsia="zh-CN"/>
        </w:rPr>
        <w:t>绿色产业</w:t>
      </w:r>
      <w:r>
        <w:rPr>
          <w:rFonts w:hint="eastAsia" w:ascii="仿宋_GB2312" w:hAnsi="仿宋_GB2312" w:eastAsia="仿宋_GB2312" w:cs="仿宋_GB2312"/>
          <w:color w:val="auto"/>
          <w:sz w:val="32"/>
          <w:szCs w:val="32"/>
          <w:lang w:val="en-US" w:eastAsia="zh-CN"/>
        </w:rPr>
        <w:t>示范带。</w:t>
      </w:r>
      <w:bookmarkStart w:id="251" w:name="_Toc28818"/>
      <w:bookmarkStart w:id="252" w:name="_Toc520647664"/>
    </w:p>
    <w:p w14:paraId="3960BDAB">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ascii="仿宋" w:hAnsi="仿宋" w:eastAsia="仿宋" w:cs="仿宋"/>
          <w:color w:val="auto"/>
          <w:sz w:val="32"/>
          <w:szCs w:val="32"/>
          <w:lang w:val="en-US" w:eastAsia="zh-CN" w:bidi="ar-SA"/>
        </w:rPr>
      </w:pPr>
    </w:p>
    <w:p w14:paraId="5659DF7B">
      <w:pPr>
        <w:keepNext w:val="0"/>
        <w:keepLines w:val="0"/>
        <w:pageBreakBefore w:val="0"/>
        <w:widowControl w:val="0"/>
        <w:kinsoku/>
        <w:wordWrap/>
        <w:topLinePunct w:val="0"/>
        <w:autoSpaceDE/>
        <w:autoSpaceDN/>
        <w:bidi w:val="0"/>
        <w:spacing w:line="650" w:lineRule="exact"/>
        <w:jc w:val="center"/>
        <w:textAlignment w:val="auto"/>
        <w:outlineLvl w:val="1"/>
        <w:rPr>
          <w:rFonts w:hint="eastAsia" w:ascii="楷体_GB2312" w:hAnsi="楷体_GB2312" w:eastAsia="楷体_GB2312" w:cs="楷体_GB2312"/>
          <w:bCs/>
          <w:color w:val="auto"/>
          <w:sz w:val="32"/>
          <w:szCs w:val="32"/>
        </w:rPr>
      </w:pPr>
      <w:bookmarkStart w:id="253" w:name="_Toc10395"/>
      <w:r>
        <w:rPr>
          <w:rFonts w:hint="eastAsia" w:ascii="楷体_GB2312" w:hAnsi="楷体_GB2312" w:eastAsia="楷体_GB2312" w:cs="楷体_GB2312"/>
          <w:bCs/>
          <w:color w:val="auto"/>
          <w:sz w:val="32"/>
          <w:szCs w:val="32"/>
        </w:rPr>
        <w:t>第二节  加大农村人居环境整治</w:t>
      </w:r>
      <w:bookmarkEnd w:id="251"/>
      <w:bookmarkEnd w:id="252"/>
      <w:r>
        <w:rPr>
          <w:rFonts w:hint="eastAsia" w:ascii="楷体_GB2312" w:hAnsi="楷体_GB2312" w:eastAsia="楷体_GB2312" w:cs="楷体_GB2312"/>
          <w:bCs/>
          <w:color w:val="auto"/>
          <w:sz w:val="32"/>
          <w:szCs w:val="32"/>
        </w:rPr>
        <w:t>提升</w:t>
      </w:r>
      <w:bookmarkEnd w:id="253"/>
    </w:p>
    <w:p w14:paraId="3ED7E929">
      <w:pPr>
        <w:pStyle w:val="2"/>
        <w:keepNext w:val="0"/>
        <w:keepLines w:val="0"/>
        <w:pageBreakBefore w:val="0"/>
        <w:widowControl w:val="0"/>
        <w:kinsoku/>
        <w:wordWrap/>
        <w:topLinePunct w:val="0"/>
        <w:autoSpaceDE/>
        <w:autoSpaceDN/>
        <w:bidi w:val="0"/>
        <w:spacing w:line="650" w:lineRule="exact"/>
        <w:ind w:left="0" w:leftChars="0" w:firstLine="540"/>
        <w:textAlignment w:val="auto"/>
        <w:rPr>
          <w:color w:val="auto"/>
        </w:rPr>
      </w:pPr>
    </w:p>
    <w:p w14:paraId="68A4B83F">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以</w:t>
      </w:r>
      <w:r>
        <w:rPr>
          <w:rFonts w:hint="eastAsia" w:ascii="仿宋_GB2312" w:hAnsi="仿宋_GB2312" w:eastAsia="仿宋_GB2312" w:cs="仿宋_GB2312"/>
          <w:color w:val="auto"/>
          <w:sz w:val="32"/>
          <w:szCs w:val="32"/>
          <w:lang w:eastAsia="zh-CN"/>
        </w:rPr>
        <w:t>生态</w:t>
      </w:r>
      <w:r>
        <w:rPr>
          <w:rFonts w:hint="eastAsia" w:ascii="仿宋_GB2312" w:hAnsi="仿宋_GB2312" w:eastAsia="仿宋_GB2312" w:cs="仿宋_GB2312"/>
          <w:color w:val="auto"/>
          <w:sz w:val="32"/>
          <w:szCs w:val="32"/>
        </w:rPr>
        <w:t>宜居为</w:t>
      </w:r>
      <w:r>
        <w:rPr>
          <w:rFonts w:hint="eastAsia" w:ascii="仿宋_GB2312" w:hAnsi="仿宋_GB2312" w:eastAsia="仿宋_GB2312" w:cs="仿宋_GB2312"/>
          <w:color w:val="auto"/>
          <w:sz w:val="32"/>
          <w:szCs w:val="32"/>
          <w:lang w:eastAsia="zh-CN"/>
        </w:rPr>
        <w:t>目标</w:t>
      </w:r>
      <w:r>
        <w:rPr>
          <w:rFonts w:hint="eastAsia" w:ascii="仿宋_GB2312" w:hAnsi="仿宋_GB2312" w:eastAsia="仿宋_GB2312" w:cs="仿宋_GB2312"/>
          <w:color w:val="auto"/>
          <w:sz w:val="32"/>
          <w:szCs w:val="32"/>
        </w:rPr>
        <w:t>，以农村垃圾、污水治理</w:t>
      </w:r>
      <w:r>
        <w:rPr>
          <w:rFonts w:hint="eastAsia" w:ascii="仿宋_GB2312" w:hAnsi="仿宋_GB2312" w:eastAsia="仿宋_GB2312" w:cs="仿宋_GB2312"/>
          <w:color w:val="auto"/>
          <w:sz w:val="32"/>
          <w:szCs w:val="32"/>
          <w:lang w:eastAsia="zh-CN"/>
        </w:rPr>
        <w:t>、厕所革命</w:t>
      </w:r>
      <w:r>
        <w:rPr>
          <w:rFonts w:hint="eastAsia" w:ascii="仿宋_GB2312" w:hAnsi="仿宋_GB2312" w:eastAsia="仿宋_GB2312" w:cs="仿宋_GB2312"/>
          <w:color w:val="auto"/>
          <w:sz w:val="32"/>
          <w:szCs w:val="32"/>
        </w:rPr>
        <w:t>和村容村貌提升为主攻，持续深化农村人居环境整治</w:t>
      </w:r>
      <w:r>
        <w:rPr>
          <w:rFonts w:hint="eastAsia" w:ascii="仿宋_GB2312" w:hAnsi="仿宋_GB2312" w:eastAsia="仿宋_GB2312" w:cs="仿宋_GB2312"/>
          <w:color w:val="auto"/>
          <w:sz w:val="32"/>
          <w:szCs w:val="32"/>
          <w:lang w:eastAsia="zh-CN"/>
        </w:rPr>
        <w:t>提升</w:t>
      </w:r>
      <w:r>
        <w:rPr>
          <w:rFonts w:hint="eastAsia" w:ascii="仿宋_GB2312" w:hAnsi="仿宋_GB2312" w:eastAsia="仿宋_GB2312" w:cs="仿宋_GB2312"/>
          <w:color w:val="auto"/>
          <w:sz w:val="32"/>
          <w:szCs w:val="32"/>
        </w:rPr>
        <w:t>，加快补齐农村人居环境短板，</w:t>
      </w:r>
      <w:r>
        <w:rPr>
          <w:rFonts w:hint="eastAsia" w:ascii="仿宋_GB2312" w:hAnsi="仿宋_GB2312" w:eastAsia="仿宋_GB2312" w:cs="仿宋_GB2312"/>
          <w:color w:val="auto"/>
          <w:sz w:val="32"/>
          <w:szCs w:val="32"/>
          <w:lang w:eastAsia="zh-CN"/>
        </w:rPr>
        <w:t>全</w:t>
      </w:r>
      <w:r>
        <w:rPr>
          <w:rFonts w:hint="eastAsia" w:ascii="仿宋_GB2312" w:hAnsi="仿宋_GB2312" w:eastAsia="仿宋_GB2312" w:cs="仿宋_GB2312"/>
          <w:color w:val="auto"/>
          <w:sz w:val="32"/>
          <w:szCs w:val="32"/>
        </w:rPr>
        <w:t>力</w:t>
      </w:r>
      <w:r>
        <w:rPr>
          <w:rFonts w:hint="eastAsia" w:ascii="仿宋_GB2312" w:hAnsi="仿宋_GB2312" w:eastAsia="仿宋_GB2312" w:cs="仿宋_GB2312"/>
          <w:color w:val="auto"/>
          <w:sz w:val="32"/>
          <w:szCs w:val="32"/>
          <w:lang w:val="en-US" w:eastAsia="zh-CN"/>
        </w:rPr>
        <w:t>打造宜居宜业宜游的美丽乡村。</w:t>
      </w:r>
      <w:bookmarkStart w:id="254" w:name="_Toc32028"/>
      <w:bookmarkStart w:id="255" w:name="_Toc520647665"/>
      <w:bookmarkStart w:id="256" w:name="_Toc22211"/>
    </w:p>
    <w:p w14:paraId="2E5399B8">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ascii="黑体" w:hAnsi="黑体" w:eastAsia="黑体" w:cs="仿宋"/>
          <w:b/>
          <w:color w:val="auto"/>
          <w:sz w:val="32"/>
          <w:szCs w:val="32"/>
          <w:lang w:val="en-US" w:eastAsia="zh-CN"/>
        </w:rPr>
      </w:pPr>
      <w:r>
        <w:rPr>
          <w:rFonts w:hint="eastAsia" w:ascii="黑体" w:hAnsi="黑体" w:eastAsia="黑体" w:cs="方正楷体_GBK"/>
          <w:bCs/>
          <w:color w:val="auto"/>
          <w:sz w:val="32"/>
          <w:szCs w:val="32"/>
          <w:lang w:val="en-US" w:eastAsia="zh-CN"/>
        </w:rPr>
        <w:t>一、全面推进农村垃圾治理</w:t>
      </w:r>
      <w:bookmarkEnd w:id="254"/>
    </w:p>
    <w:p w14:paraId="2EDBA01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bookmarkStart w:id="257" w:name="_Toc520647669"/>
      <w:r>
        <w:rPr>
          <w:rFonts w:hint="eastAsia" w:ascii="仿宋_GB2312" w:hAnsi="仿宋_GB2312" w:eastAsia="仿宋_GB2312" w:cs="仿宋_GB2312"/>
          <w:color w:val="auto"/>
          <w:sz w:val="32"/>
          <w:szCs w:val="32"/>
          <w:lang w:val="en-US" w:eastAsia="zh-CN"/>
        </w:rPr>
        <w:t>以减量化、资源化、无害化治理为目标，</w:t>
      </w:r>
      <w:r>
        <w:rPr>
          <w:rFonts w:hint="eastAsia" w:ascii="仿宋_GB2312" w:hAnsi="仿宋_GB2312" w:eastAsia="仿宋_GB2312" w:cs="仿宋_GB2312"/>
          <w:color w:val="auto"/>
          <w:sz w:val="32"/>
          <w:szCs w:val="32"/>
        </w:rPr>
        <w:t>按照“村收集、乡转运、县处理”要求，</w:t>
      </w:r>
      <w:r>
        <w:rPr>
          <w:rFonts w:hint="eastAsia" w:ascii="仿宋_GB2312" w:hAnsi="仿宋_GB2312" w:eastAsia="仿宋_GB2312" w:cs="仿宋_GB2312"/>
          <w:color w:val="auto"/>
          <w:sz w:val="32"/>
          <w:szCs w:val="32"/>
          <w:lang w:eastAsia="zh-CN"/>
        </w:rPr>
        <w:t>因地制宜选择</w:t>
      </w:r>
      <w:r>
        <w:rPr>
          <w:rFonts w:hint="eastAsia" w:ascii="仿宋_GB2312" w:hAnsi="仿宋_GB2312" w:eastAsia="仿宋_GB2312" w:cs="仿宋_GB2312"/>
          <w:color w:val="auto"/>
          <w:sz w:val="32"/>
          <w:szCs w:val="32"/>
        </w:rPr>
        <w:t>固定式</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流动式垃圾中转站转运、车辆</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地埋桶直收直运</w:t>
      </w:r>
      <w:r>
        <w:rPr>
          <w:rFonts w:hint="eastAsia" w:ascii="仿宋_GB2312" w:hAnsi="仿宋_GB2312" w:eastAsia="仿宋_GB2312" w:cs="仿宋_GB2312"/>
          <w:color w:val="auto"/>
          <w:sz w:val="32"/>
          <w:szCs w:val="32"/>
          <w:lang w:eastAsia="zh-CN"/>
        </w:rPr>
        <w:t>、偏远地区小型封闭式集中收储后定时转运</w:t>
      </w:r>
      <w:r>
        <w:rPr>
          <w:rFonts w:hint="eastAsia" w:ascii="仿宋_GB2312" w:hAnsi="仿宋_GB2312" w:eastAsia="仿宋_GB2312" w:cs="仿宋_GB2312"/>
          <w:color w:val="auto"/>
          <w:sz w:val="32"/>
          <w:szCs w:val="32"/>
        </w:rPr>
        <w:t>等多种方式，</w:t>
      </w:r>
      <w:r>
        <w:rPr>
          <w:rFonts w:hint="eastAsia" w:ascii="仿宋_GB2312" w:hAnsi="仿宋_GB2312" w:eastAsia="仿宋_GB2312" w:cs="仿宋_GB2312"/>
          <w:color w:val="auto"/>
          <w:sz w:val="32"/>
          <w:szCs w:val="32"/>
          <w:lang w:eastAsia="zh-CN"/>
        </w:rPr>
        <w:t>按照交通便利、便于作业的原则科学配置村庄垃圾收集房（点、站、车辆）、乡镇转运站及各类运输车辆，优化运输路线，建立完善</w:t>
      </w:r>
      <w:r>
        <w:rPr>
          <w:rFonts w:hint="eastAsia" w:ascii="仿宋_GB2312" w:hAnsi="仿宋_GB2312" w:eastAsia="仿宋_GB2312" w:cs="仿宋_GB2312"/>
          <w:color w:val="auto"/>
          <w:sz w:val="32"/>
          <w:szCs w:val="32"/>
        </w:rPr>
        <w:t>符合农村实际、方式多样的生活垃圾收运处置体系</w:t>
      </w:r>
      <w:r>
        <w:rPr>
          <w:rFonts w:hint="eastAsia" w:ascii="仿宋_GB2312" w:hAnsi="仿宋_GB2312" w:eastAsia="仿宋_GB2312" w:cs="仿宋_GB2312"/>
          <w:color w:val="auto"/>
          <w:sz w:val="32"/>
          <w:szCs w:val="32"/>
          <w:lang w:val="en-US" w:eastAsia="zh-CN"/>
        </w:rPr>
        <w:t>。坚持城乡统筹，加强收集、转运密闭、卫生设施设备配置，逐步普及密闭运输车辆。扩大城市焚烧发电项目向农村辐射范围，积极探索在偏远山村采取小型焚烧、热解气化</w:t>
      </w:r>
      <w:r>
        <w:rPr>
          <w:rFonts w:hint="eastAsia" w:ascii="仿宋_GB2312" w:hAnsi="仿宋_GB2312" w:eastAsia="仿宋_GB2312" w:cs="仿宋_GB2312"/>
          <w:color w:val="auto"/>
          <w:sz w:val="32"/>
          <w:szCs w:val="32"/>
        </w:rPr>
        <w:t>、综合处理</w:t>
      </w:r>
      <w:r>
        <w:rPr>
          <w:rFonts w:hint="eastAsia" w:ascii="仿宋_GB2312" w:hAnsi="仿宋_GB2312" w:eastAsia="仿宋_GB2312" w:cs="仿宋_GB2312"/>
          <w:color w:val="auto"/>
          <w:sz w:val="32"/>
          <w:szCs w:val="32"/>
          <w:lang w:val="en-US" w:eastAsia="zh-CN"/>
        </w:rPr>
        <w:t>等新技术，进一步提升无害化终端处置水平。</w:t>
      </w:r>
      <w:r>
        <w:rPr>
          <w:rFonts w:hint="eastAsia" w:ascii="仿宋_GB2312" w:hAnsi="仿宋_GB2312" w:eastAsia="仿宋_GB2312" w:cs="仿宋_GB2312"/>
          <w:color w:val="auto"/>
          <w:sz w:val="32"/>
          <w:szCs w:val="32"/>
        </w:rPr>
        <w:t>积极引导社会资本参与农村生活垃圾收集、清运和处理设施</w:t>
      </w:r>
      <w:r>
        <w:rPr>
          <w:rFonts w:hint="eastAsia" w:ascii="仿宋_GB2312" w:hAnsi="仿宋_GB2312" w:eastAsia="仿宋_GB2312" w:cs="仿宋_GB2312"/>
          <w:color w:val="auto"/>
          <w:sz w:val="32"/>
          <w:szCs w:val="32"/>
          <w:lang w:val="en-US" w:eastAsia="zh-CN"/>
        </w:rPr>
        <w:t>运行管护</w:t>
      </w:r>
      <w:r>
        <w:rPr>
          <w:rFonts w:hint="eastAsia" w:ascii="仿宋_GB2312" w:hAnsi="仿宋_GB2312" w:eastAsia="仿宋_GB2312" w:cs="仿宋_GB2312"/>
          <w:color w:val="auto"/>
          <w:sz w:val="32"/>
          <w:szCs w:val="32"/>
        </w:rPr>
        <w:t>，推行市场化运作机制，</w:t>
      </w:r>
      <w:r>
        <w:rPr>
          <w:rFonts w:hint="eastAsia" w:ascii="仿宋_GB2312" w:hAnsi="仿宋_GB2312" w:eastAsia="仿宋_GB2312" w:cs="仿宋_GB2312"/>
          <w:color w:val="auto"/>
          <w:sz w:val="32"/>
          <w:szCs w:val="32"/>
          <w:lang w:val="en-US" w:eastAsia="zh-CN"/>
        </w:rPr>
        <w:t>完善农村生活垃圾治理长效管理机制。</w:t>
      </w:r>
      <w:r>
        <w:rPr>
          <w:rFonts w:hint="eastAsia" w:ascii="仿宋_GB2312" w:hAnsi="仿宋_GB2312" w:eastAsia="仿宋_GB2312" w:cs="仿宋_GB2312"/>
          <w:color w:val="auto"/>
          <w:sz w:val="32"/>
          <w:szCs w:val="32"/>
          <w:lang w:eastAsia="zh-CN"/>
        </w:rPr>
        <w:t>稳定村庄保洁队伍，完善长效保洁机制。推动垃圾分类减量先行。</w:t>
      </w:r>
      <w:r>
        <w:rPr>
          <w:rFonts w:hint="eastAsia" w:ascii="仿宋_GB2312" w:hAnsi="仿宋_GB2312" w:eastAsia="仿宋_GB2312" w:cs="仿宋_GB2312"/>
          <w:color w:val="auto"/>
          <w:sz w:val="32"/>
          <w:szCs w:val="32"/>
          <w:lang w:val="en-US" w:eastAsia="zh-CN"/>
        </w:rPr>
        <w:t>到2025年，全市农村生活垃圾收运处置体系覆盖行政村比例达到97%</w:t>
      </w:r>
      <w:bookmarkEnd w:id="257"/>
      <w:r>
        <w:rPr>
          <w:rFonts w:hint="eastAsia" w:ascii="仿宋_GB2312" w:hAnsi="仿宋_GB2312" w:eastAsia="仿宋_GB2312" w:cs="仿宋_GB2312"/>
          <w:color w:val="auto"/>
          <w:sz w:val="32"/>
          <w:szCs w:val="32"/>
          <w:lang w:val="en-US" w:eastAsia="zh-CN"/>
        </w:rPr>
        <w:t>，力争在500个行政村开展生活垃圾分类减量工作，</w:t>
      </w:r>
      <w:r>
        <w:rPr>
          <w:rFonts w:hint="eastAsia" w:ascii="仿宋_GB2312" w:hAnsi="仿宋_GB2312" w:eastAsia="仿宋_GB2312" w:cs="仿宋_GB2312"/>
          <w:color w:val="auto"/>
          <w:sz w:val="32"/>
          <w:szCs w:val="32"/>
          <w:lang w:eastAsia="zh-CN"/>
        </w:rPr>
        <w:t>创建</w:t>
      </w:r>
      <w:r>
        <w:rPr>
          <w:rFonts w:hint="eastAsia" w:ascii="仿宋_GB2312" w:hAnsi="仿宋_GB2312" w:eastAsia="仿宋_GB2312" w:cs="仿宋_GB2312"/>
          <w:color w:val="auto"/>
          <w:sz w:val="32"/>
          <w:szCs w:val="32"/>
          <w:lang w:val="en-US" w:eastAsia="zh-CN"/>
        </w:rPr>
        <w:t>1—2个</w:t>
      </w:r>
      <w:r>
        <w:rPr>
          <w:rFonts w:hint="eastAsia" w:ascii="仿宋_GB2312" w:hAnsi="仿宋_GB2312" w:eastAsia="仿宋_GB2312" w:cs="仿宋_GB2312"/>
          <w:color w:val="auto"/>
          <w:sz w:val="32"/>
          <w:szCs w:val="32"/>
          <w:lang w:eastAsia="zh-CN"/>
        </w:rPr>
        <w:t>农村有机垃圾综合处置利用示范县</w:t>
      </w:r>
      <w:r>
        <w:rPr>
          <w:rFonts w:hint="eastAsia" w:ascii="仿宋_GB2312" w:hAnsi="仿宋_GB2312" w:eastAsia="仿宋_GB2312" w:cs="仿宋_GB2312"/>
          <w:color w:val="auto"/>
          <w:sz w:val="32"/>
          <w:szCs w:val="32"/>
          <w:lang w:val="en-US" w:eastAsia="zh-CN"/>
        </w:rPr>
        <w:t>。</w:t>
      </w:r>
      <w:bookmarkStart w:id="258" w:name="_Toc520647668"/>
      <w:bookmarkStart w:id="259" w:name="_Toc5934"/>
      <w:bookmarkStart w:id="260" w:name="_Toc3262"/>
    </w:p>
    <w:p w14:paraId="35763032">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ascii="黑体" w:hAnsi="黑体" w:eastAsia="黑体" w:cs="方正楷体_GBK"/>
          <w:bCs/>
          <w:color w:val="auto"/>
          <w:sz w:val="32"/>
          <w:szCs w:val="32"/>
          <w:lang w:val="en-US" w:eastAsia="zh-CN"/>
        </w:rPr>
      </w:pPr>
      <w:r>
        <w:rPr>
          <w:rFonts w:hint="eastAsia" w:ascii="黑体" w:hAnsi="黑体" w:eastAsia="黑体" w:cs="方正楷体_GBK"/>
          <w:bCs/>
          <w:color w:val="auto"/>
          <w:sz w:val="32"/>
          <w:szCs w:val="32"/>
          <w:lang w:val="en-US" w:eastAsia="zh-CN"/>
        </w:rPr>
        <w:t>二、</w:t>
      </w:r>
      <w:bookmarkEnd w:id="255"/>
      <w:bookmarkEnd w:id="256"/>
      <w:bookmarkEnd w:id="258"/>
      <w:bookmarkEnd w:id="259"/>
      <w:bookmarkStart w:id="261" w:name="_Toc520647666"/>
      <w:r>
        <w:rPr>
          <w:rFonts w:hint="eastAsia" w:ascii="黑体" w:hAnsi="黑体" w:eastAsia="黑体" w:cs="方正楷体_GBK"/>
          <w:bCs/>
          <w:color w:val="auto"/>
          <w:sz w:val="32"/>
          <w:szCs w:val="32"/>
          <w:lang w:val="en-US" w:eastAsia="zh-CN"/>
        </w:rPr>
        <w:t>梯次推进农村污水治理</w:t>
      </w:r>
      <w:bookmarkEnd w:id="260"/>
    </w:p>
    <w:p w14:paraId="7206E504">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以分类处理、就地循环利用为导向，坚持利用优先、以用减污，分类分步梯次推进农村生活污水治理。坚持分区分类治理，落实县域农村生活污水治理规划，明确治理优先序，坚持先易后难、先城郊后乡村，先环境敏感区和水污染严重区、后一般区域，重点治理水源保护区、城镇近郊、乡镇政府所在地、人口集聚区、风景名胜区等区域内的村庄和已完成水冲式卫生厕所改造、乡村旅游示范村等重点村的生活污水治理。科学选择处理模式，合理采用纳入城镇污水管网统一处理、联村联户集中处理、单户分散处理等模式，推广技术成熟可靠、低成本、低能耗、易维护、高效率，适合农村特点的污水处理模式。鼓励具备条件的地区采用人工湿地等生态处理模式。确保设施建起来运行好，明确各级主体责任，合理确定运行维护单位，落实运行保障经费，确保农村生活污水处理设施正常运行。鼓励县级采用政府购买服务方式，委托第三方专业机构统一运行维护农村污水处理设施。加强黑臭水体治理，以房前屋后河塘沟渠和群众反映强烈的黑臭水体为重点，加强控源截污、清淤疏浚、生态修复、水体净化等综合治理。推动河长制湖长制体系向村级延伸，加强沿河（湖、渠）及水源地污水系统治理，大力整治农村生活污水无序排放及河沟渠污水偷排，开展生活污水源头减量和尾水回收利用。</w:t>
      </w:r>
      <w:bookmarkEnd w:id="261"/>
      <w:bookmarkStart w:id="262" w:name="_Toc520647672"/>
      <w:bookmarkStart w:id="263" w:name="_Toc28483"/>
      <w:r>
        <w:rPr>
          <w:rFonts w:hint="eastAsia" w:ascii="仿宋_GB2312" w:hAnsi="仿宋_GB2312" w:eastAsia="仿宋_GB2312" w:cs="仿宋_GB2312"/>
          <w:color w:val="auto"/>
          <w:kern w:val="2"/>
          <w:sz w:val="32"/>
          <w:szCs w:val="32"/>
          <w:lang w:val="en-US" w:eastAsia="zh-CN" w:bidi="ar-SA"/>
        </w:rPr>
        <w:t>到2025年，全市每年新开工建设生活污水治理设施的行政村50个以上，农村生活污水治理率达到25%。</w:t>
      </w:r>
      <w:bookmarkStart w:id="264" w:name="_Toc14684"/>
    </w:p>
    <w:p w14:paraId="1CD4AE6C">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ascii="黑体" w:hAnsi="黑体" w:eastAsia="黑体" w:cs="方正楷体_GBK"/>
          <w:bCs/>
          <w:color w:val="auto"/>
          <w:sz w:val="32"/>
          <w:szCs w:val="32"/>
          <w:lang w:val="en-US" w:eastAsia="zh-CN"/>
        </w:rPr>
      </w:pPr>
      <w:r>
        <w:rPr>
          <w:rFonts w:hint="eastAsia" w:ascii="黑体" w:hAnsi="黑体" w:eastAsia="黑体" w:cs="方正楷体_GBK"/>
          <w:bCs/>
          <w:color w:val="auto"/>
          <w:sz w:val="32"/>
          <w:szCs w:val="32"/>
          <w:lang w:val="en-US" w:eastAsia="zh-CN"/>
        </w:rPr>
        <w:t>三、</w:t>
      </w:r>
      <w:bookmarkEnd w:id="262"/>
      <w:bookmarkEnd w:id="263"/>
      <w:r>
        <w:rPr>
          <w:rFonts w:hint="eastAsia" w:ascii="黑体" w:hAnsi="黑体" w:eastAsia="黑体" w:cs="方正楷体_GBK"/>
          <w:bCs/>
          <w:color w:val="auto"/>
          <w:sz w:val="32"/>
          <w:szCs w:val="32"/>
          <w:lang w:val="en-US" w:eastAsia="zh-CN"/>
        </w:rPr>
        <w:t>分类推进农村厕所革命</w:t>
      </w:r>
      <w:bookmarkEnd w:id="264"/>
    </w:p>
    <w:p w14:paraId="4DA985E8">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坚持整村推进，鼓励整乡、整县推进，全面提高农村户用卫生厕所普及率。充分考虑自然地理条件、生产生活习俗和群众意愿，科学选择改厕模式，宜水则水、宜旱则旱，做到愿改尽改、能改尽改。在城镇郊区等具备水冲条件的地区，推广水冲式卫生厕所模式和节水型、微水型厕具应用，对尚不具备水冲条件的地区，因地制宜推广粪污集中无害化处理式卫生厕所、防旱防冻卫生旱厕等改造模式。要加强对2017年以前未达标的农村厕所进行改造升级。合理规划布局农村卫生公厕，推进农村公厕建设改造。扎实推进农村中小学校、幼儿园厕所改造建设，实现卫生厕所全覆盖。深入推进乡村旅游示范村卫生公厕建设和旅游景点厕所提档升级。大力开展乡镇府机关（派出所）、乡镇卫生院、农贸市场等公厕建设改造。</w:t>
      </w:r>
      <w:bookmarkStart w:id="265" w:name="_Toc29217454"/>
      <w:r>
        <w:rPr>
          <w:rFonts w:hint="eastAsia" w:ascii="仿宋_GB2312" w:hAnsi="仿宋_GB2312" w:eastAsia="仿宋_GB2312" w:cs="仿宋_GB2312"/>
          <w:color w:val="auto"/>
          <w:kern w:val="2"/>
          <w:sz w:val="32"/>
          <w:szCs w:val="32"/>
          <w:lang w:val="en-US" w:eastAsia="zh-CN" w:bidi="ar-SA"/>
        </w:rPr>
        <w:t>加强粪污无害化处理与资源化利用</w:t>
      </w:r>
      <w:bookmarkEnd w:id="265"/>
      <w:r>
        <w:rPr>
          <w:rFonts w:hint="eastAsia" w:ascii="仿宋_GB2312" w:hAnsi="仿宋_GB2312" w:eastAsia="仿宋_GB2312" w:cs="仿宋_GB2312"/>
          <w:color w:val="auto"/>
          <w:kern w:val="2"/>
          <w:sz w:val="32"/>
          <w:szCs w:val="32"/>
          <w:lang w:val="en-US" w:eastAsia="zh-CN" w:bidi="ar-SA"/>
        </w:rPr>
        <w:t>，统筹推进农村厕所粪污和农村生活污水治理，鼓励一体化建设，暂时无法同步建设的要为后期建设打好基础，预留空间。按照“管收用并重、责权利一致”的原则，积极推动农村厕所管护市场化服务。合理布局农村户厕管护服务网点，做到“厕具坏了有人修、粪液满了有人抽、抽走之后能处理”。落实农村公共厕所管护主体责任，强化日常卫生保洁。到2025年，全市完成新改造农村户厕18.4万户，农村卫生厕所普及率达到92%。</w:t>
      </w:r>
      <w:bookmarkStart w:id="266" w:name="_Toc520647675"/>
      <w:bookmarkStart w:id="267" w:name="_Toc18231"/>
      <w:bookmarkStart w:id="268" w:name="_Toc22566"/>
    </w:p>
    <w:p w14:paraId="58ABF1CC">
      <w:pPr>
        <w:pStyle w:val="28"/>
        <w:keepNext w:val="0"/>
        <w:keepLines w:val="0"/>
        <w:pageBreakBefore w:val="0"/>
        <w:widowControl w:val="0"/>
        <w:pBdr>
          <w:top w:val="none" w:color="auto" w:sz="0" w:space="1"/>
          <w:left w:val="none" w:color="auto" w:sz="0" w:space="4"/>
          <w:bottom w:val="none" w:color="auto" w:sz="0" w:space="1"/>
          <w:right w:val="none" w:color="auto" w:sz="0" w:space="4"/>
        </w:pBdr>
        <w:tabs>
          <w:tab w:val="left" w:pos="1056"/>
        </w:tabs>
        <w:kinsoku/>
        <w:wordWrap/>
        <w:topLinePunct w:val="0"/>
        <w:autoSpaceDE/>
        <w:autoSpaceDN/>
        <w:bidi w:val="0"/>
        <w:spacing w:line="650" w:lineRule="exact"/>
        <w:ind w:left="0" w:leftChars="0" w:firstLine="640" w:firstLineChars="200"/>
        <w:jc w:val="both"/>
        <w:textAlignment w:val="auto"/>
        <w:rPr>
          <w:rFonts w:ascii="黑体" w:hAnsi="黑体" w:eastAsia="黑体" w:cs="仿宋"/>
          <w:b/>
          <w:bCs/>
          <w:color w:val="auto"/>
          <w:sz w:val="32"/>
          <w:szCs w:val="32"/>
          <w:lang w:val="en-US" w:eastAsia="zh-CN" w:bidi="ar-SA"/>
        </w:rPr>
      </w:pPr>
      <w:r>
        <w:rPr>
          <w:rFonts w:hint="eastAsia" w:ascii="黑体" w:hAnsi="黑体" w:eastAsia="黑体" w:cs="方正楷体_GBK"/>
          <w:bCs/>
          <w:color w:val="auto"/>
          <w:sz w:val="32"/>
          <w:szCs w:val="32"/>
          <w:lang w:val="en-US" w:eastAsia="zh-CN"/>
        </w:rPr>
        <w:t>四、</w:t>
      </w:r>
      <w:bookmarkEnd w:id="266"/>
      <w:bookmarkEnd w:id="267"/>
      <w:r>
        <w:rPr>
          <w:rFonts w:hint="eastAsia" w:ascii="黑体" w:hAnsi="黑体" w:eastAsia="黑体" w:cs="方正楷体_GBK"/>
          <w:bCs/>
          <w:color w:val="auto"/>
          <w:sz w:val="32"/>
          <w:szCs w:val="32"/>
          <w:lang w:val="en-US" w:eastAsia="zh-CN"/>
        </w:rPr>
        <w:t>加强农业废弃物资源化综合利用</w:t>
      </w:r>
      <w:bookmarkEnd w:id="268"/>
    </w:p>
    <w:p w14:paraId="68D5A92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以农作物秸秆综合利用、农膜回收利用和畜禽粪污资源化利用为重点，全面推动农业生产废弃物资源循环利用。</w:t>
      </w:r>
      <w:r>
        <w:rPr>
          <w:rFonts w:hint="eastAsia" w:ascii="仿宋_GB2312" w:hAnsi="仿宋" w:eastAsia="仿宋_GB2312" w:cs="仿宋"/>
          <w:color w:val="auto"/>
          <w:sz w:val="32"/>
          <w:szCs w:val="32"/>
        </w:rPr>
        <w:t>坚持“因地制宜、农用优先、就地就近、政府引导、科技支撑、多元利用、市场运作”的原则，深入实施秸秆综合利用行动</w:t>
      </w:r>
      <w:r>
        <w:rPr>
          <w:rFonts w:hint="eastAsia" w:ascii="仿宋_GB2312" w:hAnsi="仿宋" w:eastAsia="仿宋_GB2312" w:cs="仿宋"/>
          <w:color w:val="auto"/>
          <w:sz w:val="32"/>
          <w:szCs w:val="32"/>
          <w:lang w:eastAsia="zh-CN"/>
        </w:rPr>
        <w:t>，</w:t>
      </w:r>
      <w:r>
        <w:rPr>
          <w:rFonts w:hint="eastAsia" w:ascii="仿宋_GB2312" w:hAnsi="仿宋" w:eastAsia="仿宋_GB2312" w:cs="仿宋"/>
          <w:color w:val="auto"/>
          <w:sz w:val="32"/>
          <w:szCs w:val="32"/>
        </w:rPr>
        <w:t>扶持培育一批秸秆还田、收储运和加工利用的市场化主体，完善秸秆收储运体系，构建高质高效的秸秆综合利用机制和发展格局</w:t>
      </w:r>
      <w:r>
        <w:rPr>
          <w:rFonts w:hint="eastAsia" w:ascii="仿宋_GB2312" w:hAnsi="仿宋" w:eastAsia="仿宋_GB2312" w:cs="仿宋"/>
          <w:color w:val="auto"/>
          <w:sz w:val="32"/>
          <w:szCs w:val="32"/>
          <w:lang w:eastAsia="zh-CN"/>
        </w:rPr>
        <w:t>，</w:t>
      </w:r>
      <w:r>
        <w:rPr>
          <w:rFonts w:hint="eastAsia" w:ascii="仿宋_GB2312" w:hAnsi="仿宋_GB2312" w:eastAsia="仿宋_GB2312" w:cs="仿宋_GB2312"/>
          <w:color w:val="auto"/>
          <w:sz w:val="32"/>
          <w:szCs w:val="32"/>
          <w:lang w:val="en-US" w:eastAsia="zh-CN"/>
        </w:rPr>
        <w:t>加强农膜（反光膜）回收处理。</w:t>
      </w:r>
      <w:r>
        <w:rPr>
          <w:rFonts w:hint="eastAsia" w:ascii="仿宋_GB2312" w:hAnsi="仿宋" w:eastAsia="仿宋_GB2312" w:cs="仿宋"/>
          <w:color w:val="auto"/>
          <w:sz w:val="32"/>
          <w:szCs w:val="32"/>
          <w:lang w:val="en-US" w:eastAsia="zh-CN"/>
        </w:rPr>
        <w:t>实行政府扶持、多方参与的原则，引导农用薄膜生产者、销售者、回收网点、废旧农用薄膜回收再利用企业或其他组织等开展合作，采取多种方式，建立健全农用薄膜回收利用体系，推动废旧农用薄膜回收、处理和再利用。</w:t>
      </w:r>
      <w:r>
        <w:rPr>
          <w:rFonts w:hint="eastAsia" w:ascii="仿宋_GB2312" w:hAnsi="仿宋_GB2312" w:eastAsia="仿宋_GB2312" w:cs="仿宋_GB2312"/>
          <w:color w:val="auto"/>
          <w:sz w:val="32"/>
          <w:szCs w:val="32"/>
          <w:lang w:val="en-US" w:eastAsia="zh-CN"/>
        </w:rPr>
        <w:t>推进畜禽粪污资源化利用。开展畜禽粪污还田全链条监测和评估。以畜禽粪污就近就地处理、农用有机肥科学还田利用为主攻，重点推广畜禽养殖节水型清粪、有机肥利用等模式。支持建设一批全量收集资源化还田试点，有条件的地区建设规模化大型沼气工程和田间贮存设施。培育畜禽粪污处理服务组织，拓宽粪肥利用渠道。加强病死动物无害化处理点建设，建立病死动物收集、暂存、装运、无害化处理等环节监管的长效机制。到2025年，建设一处市级反光膜回收利用中心、每个县（市、区）建设一个收贮中心、每个乡（镇）建设一个回收网点，废旧农膜回收率达到85%、反光膜回收率达到100%。畜禽粪污资源化利用率达到93%以上。</w:t>
      </w:r>
    </w:p>
    <w:p w14:paraId="1937A5D3">
      <w:pPr>
        <w:keepNext w:val="0"/>
        <w:keepLines w:val="0"/>
        <w:pageBreakBefore w:val="0"/>
        <w:widowControl w:val="0"/>
        <w:kinsoku/>
        <w:wordWrap/>
        <w:topLinePunct w:val="0"/>
        <w:autoSpaceDE/>
        <w:autoSpaceDN/>
        <w:bidi w:val="0"/>
        <w:spacing w:line="650" w:lineRule="exact"/>
        <w:ind w:left="0" w:leftChars="0" w:firstLine="640" w:firstLineChars="200"/>
        <w:jc w:val="left"/>
        <w:textAlignment w:val="auto"/>
        <w:outlineLvl w:val="9"/>
        <w:rPr>
          <w:rFonts w:hint="eastAsia" w:ascii="仿宋_GB2312" w:hAnsi="仿宋_GB2312" w:eastAsia="仿宋_GB2312" w:cs="仿宋_GB2312"/>
          <w:bCs w:val="0"/>
          <w:color w:val="auto"/>
          <w:sz w:val="32"/>
          <w:szCs w:val="32"/>
        </w:rPr>
      </w:pPr>
      <w:bookmarkStart w:id="269" w:name="_Toc520647679"/>
      <w:bookmarkStart w:id="270" w:name="_Toc10315"/>
    </w:p>
    <w:p w14:paraId="39AF6EBE">
      <w:pPr>
        <w:keepNext w:val="0"/>
        <w:keepLines w:val="0"/>
        <w:pageBreakBefore w:val="0"/>
        <w:widowControl w:val="0"/>
        <w:kinsoku/>
        <w:wordWrap/>
        <w:overflowPunct/>
        <w:topLinePunct w:val="0"/>
        <w:autoSpaceDE/>
        <w:autoSpaceDN/>
        <w:bidi w:val="0"/>
        <w:adjustRightInd/>
        <w:snapToGrid/>
        <w:spacing w:line="650" w:lineRule="exact"/>
        <w:ind w:left="0" w:leftChars="0" w:firstLine="0" w:firstLineChars="0"/>
        <w:jc w:val="center"/>
        <w:textAlignment w:val="auto"/>
        <w:outlineLvl w:val="1"/>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第三节  加强村镇体系建设</w:t>
      </w:r>
      <w:bookmarkEnd w:id="269"/>
      <w:bookmarkEnd w:id="270"/>
    </w:p>
    <w:p w14:paraId="0EB2CA3C">
      <w:pPr>
        <w:keepNext w:val="0"/>
        <w:keepLines w:val="0"/>
        <w:pageBreakBefore w:val="0"/>
        <w:widowControl w:val="0"/>
        <w:kinsoku/>
        <w:wordWrap/>
        <w:overflowPunct w:val="0"/>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bookmarkStart w:id="271" w:name="_Toc520647680"/>
    </w:p>
    <w:p w14:paraId="4656A57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根据运城市城镇体系规划，结合各县（市、区）镇村实际，科学合理确定镇（乡）村等级体系，构建镇村发展体系，优化乡村发展结构，推动美丽乡村建设。</w:t>
      </w:r>
      <w:bookmarkStart w:id="272" w:name="_Toc8960"/>
    </w:p>
    <w:p w14:paraId="163EA544">
      <w:pPr>
        <w:keepNext w:val="0"/>
        <w:keepLines w:val="0"/>
        <w:pageBreakBefore w:val="0"/>
        <w:widowControl w:val="0"/>
        <w:kinsoku/>
        <w:wordWrap/>
        <w:overflowPunct w:val="0"/>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一、</w:t>
      </w:r>
      <w:bookmarkEnd w:id="271"/>
      <w:r>
        <w:rPr>
          <w:rFonts w:hint="eastAsia" w:ascii="黑体" w:hAnsi="黑体" w:eastAsia="黑体" w:cs="方正楷体_GBK"/>
          <w:bCs/>
          <w:color w:val="auto"/>
          <w:sz w:val="32"/>
          <w:szCs w:val="32"/>
        </w:rPr>
        <w:t>完善镇村体系布局</w:t>
      </w:r>
      <w:bookmarkEnd w:id="272"/>
    </w:p>
    <w:p w14:paraId="09C7C25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城镇是区域经济发展的核心，具有连接城乡、承上启下的重要作用和较强的辐射带动力，是农村人口转移聚集的第一站，也是产业与人口的主要聚集地，城镇体系重构意义重大。运城市资源丰富，连接三省，服务中原、太原，又受关中辐射，坐落于“黄河金三角”核心区，依托城市、服务城市的功能突出，以高品质的生态环境、宜游型的生态产业、美丽的生态村镇、经典的历史文化和山水景观，脱颖于周边省市，彰显其发展优势。要以“中心城区—中心集镇—特色乡镇—精品村庄”四位一体的建设思路，打造晋陕豫黄河金三角农旅结合产城联动的示范区和生态文化旅游的目的地，全面提升运城美丽乡村的建设水平，创造出农业强市创新发展的独特路径。</w:t>
      </w:r>
    </w:p>
    <w:p w14:paraId="179D387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根据《运城市</w:t>
      </w:r>
      <w:r>
        <w:rPr>
          <w:rFonts w:hint="eastAsia" w:ascii="仿宋_GB2312" w:hAnsi="仿宋_GB2312" w:eastAsia="仿宋_GB2312" w:cs="仿宋_GB2312"/>
          <w:color w:val="auto"/>
          <w:sz w:val="32"/>
          <w:szCs w:val="32"/>
          <w:lang w:eastAsia="zh-CN"/>
        </w:rPr>
        <w:t>国土空间总体规划（</w:t>
      </w:r>
      <w:r>
        <w:rPr>
          <w:rFonts w:hint="eastAsia" w:ascii="仿宋_GB2312" w:hAnsi="仿宋_GB2312" w:eastAsia="仿宋_GB2312" w:cs="仿宋_GB2312"/>
          <w:color w:val="auto"/>
          <w:sz w:val="32"/>
          <w:szCs w:val="32"/>
          <w:lang w:val="en-US" w:eastAsia="zh-CN"/>
        </w:rPr>
        <w:t>2021-2035年）</w:t>
      </w:r>
      <w:r>
        <w:rPr>
          <w:rFonts w:hint="eastAsia" w:ascii="仿宋_GB2312" w:hAnsi="仿宋_GB2312" w:eastAsia="仿宋_GB2312" w:cs="仿宋_GB2312"/>
          <w:color w:val="auto"/>
          <w:sz w:val="32"/>
          <w:szCs w:val="32"/>
        </w:rPr>
        <w:t>》，结合当前经济社会发展需要，调整补充一些产业、文化、经济等方面优势明显的特色乡镇，按照“分类指导、整体推进”的原则，建成一批中心集镇、特色乡镇、特色小镇。各乡镇的规划设计应符合市县的总体规划，形成适合自身的发展模式。山区乡镇应加大移民并村，逐步向镇区和中心村合并，通过人口聚集，逐步实现农业规模经营，发展壮大特色产业，建设现代化的特色城镇。</w:t>
      </w:r>
      <w:bookmarkStart w:id="273" w:name="_Toc24424"/>
    </w:p>
    <w:p w14:paraId="444F92C1">
      <w:pPr>
        <w:keepNext w:val="0"/>
        <w:keepLines w:val="0"/>
        <w:pageBreakBefore w:val="0"/>
        <w:widowControl w:val="0"/>
        <w:kinsoku/>
        <w:wordWrap/>
        <w:overflowPunct w:val="0"/>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二、创建特色小镇</w:t>
      </w:r>
      <w:bookmarkEnd w:id="273"/>
    </w:p>
    <w:p w14:paraId="13853F0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国家创建特色小镇标准要求，加快创建各具特色、富有活力的休闲旅游、商贸物流、现代制造、教育科技、传统文化、美丽宜居等特色小镇。加大农村文化遗产遗迹保护，强化对古庙、古塔、古宅等历史建筑的保护，用古建筑留住乡愁。保护和开发传统村落、传统民居和历史文化名村名镇。推广万荣县高村乡闫景村政府主导、企业投资，保护和利用传统村落模式。不断挖掘小城镇独特元素，建设各具特色、富有活力、特色鲜明的产业形态，和谐宜居的美丽环境。持续打造永济水峪口古村、夏县天沐温泉小镇、盐湖区岚山根休闲小镇等一批主导产业鲜明、生态环境优美、功能叠加融合的特色小镇，扎实推动农村接续发展。到2025年，每个县（市、区）至少创建1个特色小镇。尤其是沿黄8县（市）要率先建设一批具有运城</w:t>
      </w:r>
      <w:r>
        <w:rPr>
          <w:rFonts w:hint="eastAsia" w:ascii="仿宋_GB2312" w:hAnsi="仿宋_GB2312" w:eastAsia="仿宋_GB2312" w:cs="仿宋_GB2312"/>
          <w:color w:val="auto"/>
          <w:spacing w:val="0"/>
          <w:sz w:val="32"/>
          <w:szCs w:val="32"/>
        </w:rPr>
        <w:t>文化特色、自然风貌、产业特色明显的特色风情</w:t>
      </w:r>
      <w:r>
        <w:rPr>
          <w:rFonts w:hint="eastAsia" w:ascii="仿宋_GB2312" w:hAnsi="仿宋_GB2312" w:eastAsia="仿宋_GB2312" w:cs="仿宋_GB2312"/>
          <w:color w:val="auto"/>
          <w:spacing w:val="-6"/>
          <w:sz w:val="32"/>
          <w:szCs w:val="32"/>
        </w:rPr>
        <w:t>小镇，与创建国家特色小镇同标准建设，创出运城品牌，带动全市小城镇建设。</w:t>
      </w:r>
      <w:bookmarkStart w:id="274" w:name="_Toc520647682"/>
      <w:bookmarkStart w:id="275" w:name="_Toc6855"/>
    </w:p>
    <w:p w14:paraId="1A2C4649">
      <w:pPr>
        <w:keepNext w:val="0"/>
        <w:keepLines w:val="0"/>
        <w:pageBreakBefore w:val="0"/>
        <w:widowControl w:val="0"/>
        <w:kinsoku/>
        <w:wordWrap/>
        <w:overflowPunct w:val="0"/>
        <w:topLinePunct w:val="0"/>
        <w:autoSpaceDE/>
        <w:autoSpaceDN/>
        <w:bidi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三、加强特色风貌</w:t>
      </w:r>
      <w:bookmarkEnd w:id="274"/>
      <w:r>
        <w:rPr>
          <w:rFonts w:hint="eastAsia" w:ascii="黑体" w:hAnsi="黑体" w:eastAsia="黑体" w:cs="方正楷体_GBK"/>
          <w:bCs/>
          <w:color w:val="auto"/>
          <w:sz w:val="32"/>
          <w:szCs w:val="32"/>
        </w:rPr>
        <w:t>整治</w:t>
      </w:r>
      <w:bookmarkEnd w:id="275"/>
    </w:p>
    <w:p w14:paraId="2C5174F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遵循乡村发展规律，突出乡村特色风貌，彰显不同区域农村民居和风貌特色，加强村庄建筑风貌引导和特色风貌保护，保留乡土味道，防止“千村一面”。不搞大拆大建，不刷白墙，逐步形成有标志性的乡村景观。加大对违章建筑的整治力度，健全农房建设质量安全法律法规和监管体制，开展农村危房安全隐患排查整治，实施农村危房改造和地震高烈度设防地区农房抗震改造专项行动，加强农村危房改造质量安全管理。加强村庄风貌引导，完善农村住房建设标准和规范，提高农房设计水平和建设质量，确保农村住房安全。加强农村消防安全保障设计，打通生命安全救援通道。开展村庄道路、街巷、庭院、环村绿化和公共绿地建设，着力打造乡村自然生态风貌保存完好、乡土田园特色突出、森林功能效益显著、涉林产业发展良好的森林乡村。持续开展村庄清洁行动，推动村庄保洁制度化、常态化、长效化。到2025年，全市完成500个特色风貌村整治任务。</w:t>
      </w:r>
      <w:bookmarkStart w:id="276" w:name="_Toc520647683"/>
      <w:bookmarkStart w:id="277" w:name="_Toc29778"/>
      <w:bookmarkStart w:id="278" w:name="_Toc520647681"/>
    </w:p>
    <w:p w14:paraId="1807B0D8">
      <w:pPr>
        <w:keepNext w:val="0"/>
        <w:keepLines w:val="0"/>
        <w:pageBreakBefore w:val="0"/>
        <w:widowControl w:val="0"/>
        <w:pBdr>
          <w:bottom w:val="single" w:color="FFFFFF" w:sz="4" w:space="31"/>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四、实施美丽乡村示范带建设</w:t>
      </w:r>
      <w:bookmarkEnd w:id="276"/>
      <w:bookmarkEnd w:id="277"/>
    </w:p>
    <w:p w14:paraId="23094BC6">
      <w:pPr>
        <w:keepNext w:val="0"/>
        <w:keepLines w:val="0"/>
        <w:pageBreakBefore w:val="0"/>
        <w:widowControl w:val="0"/>
        <w:pBdr>
          <w:bottom w:val="single" w:color="FFFFFF" w:sz="4" w:space="31"/>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结合太行、吕梁、黄河、汾河旅游板块，按照《山西省美丽乡村建设规划》，立足宜居，突出宜游，每年集中连片连线打造一批独具晋南风韵特色的美丽乡村示范带，促进农村一二三产业融合发展。突出农村人居环境“提升”、基础设施“补短板”、公共服务“均等化”，统筹整合发改、财政、农业农村、住建、卫健、规划和自然资源、生态环境等部门项目资金，在每个示范带中选择一个中心村进行高标准建设，并以中心村建设为标准，形成示范带整体风貌管控，同步加强示范带其余村庄建设，推动美丽乡村示范带整体建设。全市每年精选130个左右的乡村进行连片打造。到2025年，全市</w:t>
      </w:r>
      <w:r>
        <w:rPr>
          <w:rFonts w:hint="eastAsia" w:ascii="仿宋_GB2312" w:hAnsi="仿宋_GB2312" w:eastAsia="仿宋_GB2312" w:cs="仿宋_GB2312"/>
          <w:color w:val="auto"/>
          <w:sz w:val="32"/>
          <w:szCs w:val="32"/>
          <w:lang w:eastAsia="zh-CN"/>
        </w:rPr>
        <w:t>新新打造</w:t>
      </w:r>
      <w:r>
        <w:rPr>
          <w:rFonts w:hint="eastAsia" w:ascii="仿宋_GB2312" w:hAnsi="仿宋_GB2312" w:eastAsia="仿宋_GB2312" w:cs="仿宋_GB2312"/>
          <w:color w:val="auto"/>
          <w:sz w:val="32"/>
          <w:szCs w:val="32"/>
        </w:rPr>
        <w:t>650个美丽宜居</w:t>
      </w:r>
      <w:r>
        <w:rPr>
          <w:rFonts w:hint="eastAsia" w:ascii="仿宋_GB2312" w:hAnsi="仿宋_GB2312" w:eastAsia="仿宋_GB2312" w:cs="仿宋_GB2312"/>
          <w:color w:val="auto"/>
          <w:sz w:val="32"/>
          <w:szCs w:val="32"/>
          <w:lang w:eastAsia="zh-CN"/>
        </w:rPr>
        <w:t>乡</w:t>
      </w:r>
      <w:r>
        <w:rPr>
          <w:rFonts w:hint="eastAsia" w:ascii="仿宋_GB2312" w:hAnsi="仿宋_GB2312" w:eastAsia="仿宋_GB2312" w:cs="仿宋_GB2312"/>
          <w:color w:val="auto"/>
          <w:sz w:val="32"/>
          <w:szCs w:val="32"/>
        </w:rPr>
        <w:t>村。到2035年，全市美丽乡村基本实现全覆盖。</w:t>
      </w:r>
      <w:bookmarkStart w:id="279" w:name="_Toc27759"/>
    </w:p>
    <w:p w14:paraId="08771844">
      <w:pPr>
        <w:keepNext w:val="0"/>
        <w:keepLines w:val="0"/>
        <w:pageBreakBefore w:val="0"/>
        <w:widowControl w:val="0"/>
        <w:pBdr>
          <w:bottom w:val="single" w:color="FFFFFF" w:sz="4" w:space="31"/>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ascii="黑体" w:hAnsi="黑体" w:eastAsia="黑体" w:cs="方正楷体_GBK"/>
          <w:bCs/>
          <w:color w:val="auto"/>
          <w:sz w:val="32"/>
          <w:szCs w:val="32"/>
        </w:rPr>
      </w:pPr>
      <w:r>
        <w:rPr>
          <w:rFonts w:hint="eastAsia" w:ascii="黑体" w:hAnsi="黑体" w:eastAsia="黑体" w:cs="方正楷体_GBK"/>
          <w:bCs/>
          <w:color w:val="auto"/>
          <w:sz w:val="32"/>
          <w:szCs w:val="32"/>
        </w:rPr>
        <w:t>五、推动田园综合体建设</w:t>
      </w:r>
      <w:bookmarkEnd w:id="278"/>
      <w:bookmarkEnd w:id="279"/>
    </w:p>
    <w:p w14:paraId="28E091FB">
      <w:pPr>
        <w:keepNext w:val="0"/>
        <w:keepLines w:val="0"/>
        <w:pageBreakBefore w:val="0"/>
        <w:widowControl w:val="0"/>
        <w:pBdr>
          <w:bottom w:val="single" w:color="FFFFFF" w:sz="4" w:space="31"/>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田园综合体是集现代农业、休闲旅游、田园社区为一体的特色小镇和乡村综合发展模式，是推动农村主导产业发展、生态环境建设、乡村田园社区建设以及农村集体经济发展、农民就业增收的有效载体，更是推动村镇体系综合建设</w:t>
      </w:r>
      <w:r>
        <w:rPr>
          <w:rFonts w:hint="eastAsia" w:ascii="Times New Roman" w:hAnsi="Times New Roman" w:eastAsia="仿宋_GB2312" w:cs="Times New Roman"/>
          <w:color w:val="auto"/>
          <w:sz w:val="32"/>
          <w:szCs w:val="32"/>
          <w:lang w:eastAsia="zh-CN"/>
        </w:rPr>
        <w:t>的</w:t>
      </w:r>
      <w:r>
        <w:rPr>
          <w:rFonts w:hint="default" w:ascii="Times New Roman" w:hAnsi="Times New Roman" w:eastAsia="仿宋_GB2312" w:cs="Times New Roman"/>
          <w:color w:val="auto"/>
          <w:sz w:val="32"/>
          <w:szCs w:val="32"/>
        </w:rPr>
        <w:t>有效抓手。要按照“农业+文旅+社区”的田园综合体发展模式，在全市广泛开展田园综合体创建，大力支持有条件的乡村建设以农民合作社为主要载体、农民充分参与和受益，通过农业综合开发、农村综合改革等渠道开展田园综合体</w:t>
      </w:r>
      <w:r>
        <w:rPr>
          <w:rFonts w:hint="eastAsia" w:ascii="仿宋_GB2312" w:hAnsi="仿宋_GB2312" w:eastAsia="仿宋_GB2312" w:cs="仿宋_GB2312"/>
          <w:color w:val="auto"/>
          <w:sz w:val="32"/>
          <w:szCs w:val="32"/>
        </w:rPr>
        <w:t>示范创建。到2025年，全市至少立项申报2个国家级的田园综合体试点。</w:t>
      </w:r>
      <w:bookmarkStart w:id="280" w:name="_Toc16079"/>
    </w:p>
    <w:p w14:paraId="16AED447">
      <w:pPr>
        <w:keepNext w:val="0"/>
        <w:keepLines w:val="0"/>
        <w:pageBreakBefore w:val="0"/>
        <w:widowControl w:val="0"/>
        <w:pBdr>
          <w:bottom w:val="single" w:color="FFFFFF" w:sz="4" w:space="31"/>
        </w:pBdr>
        <w:tabs>
          <w:tab w:val="left" w:pos="1440"/>
        </w:tabs>
        <w:kinsoku/>
        <w:wordWrap/>
        <w:overflowPunct/>
        <w:topLinePunct w:val="0"/>
        <w:autoSpaceDE/>
        <w:autoSpaceDN/>
        <w:bidi w:val="0"/>
        <w:adjustRightInd w:val="0"/>
        <w:snapToGrid w:val="0"/>
        <w:spacing w:line="650" w:lineRule="exact"/>
        <w:ind w:left="0" w:leftChars="0" w:firstLine="0" w:firstLineChars="0"/>
        <w:jc w:val="center"/>
        <w:textAlignment w:val="auto"/>
        <w:outlineLvl w:val="9"/>
        <w:rPr>
          <w:rFonts w:hint="eastAsia" w:ascii="楷体_GB2312" w:hAnsi="楷体_GB2312" w:eastAsia="楷体_GB2312" w:cs="楷体_GB2312"/>
          <w:bCs/>
          <w:color w:val="auto"/>
          <w:sz w:val="32"/>
          <w:szCs w:val="32"/>
        </w:rPr>
      </w:pPr>
    </w:p>
    <w:p w14:paraId="2D813B62">
      <w:pPr>
        <w:keepNext w:val="0"/>
        <w:keepLines w:val="0"/>
        <w:pageBreakBefore w:val="0"/>
        <w:widowControl w:val="0"/>
        <w:pBdr>
          <w:bottom w:val="single" w:color="FFFFFF" w:sz="4" w:space="31"/>
        </w:pBdr>
        <w:tabs>
          <w:tab w:val="left" w:pos="1440"/>
        </w:tabs>
        <w:kinsoku/>
        <w:wordWrap/>
        <w:overflowPunct/>
        <w:topLinePunct w:val="0"/>
        <w:autoSpaceDE/>
        <w:autoSpaceDN/>
        <w:bidi w:val="0"/>
        <w:adjustRightInd w:val="0"/>
        <w:snapToGrid w:val="0"/>
        <w:spacing w:line="650" w:lineRule="exact"/>
        <w:ind w:left="0" w:leftChars="0" w:firstLine="0" w:firstLineChars="0"/>
        <w:jc w:val="center"/>
        <w:textAlignment w:val="auto"/>
        <w:outlineLvl w:val="9"/>
        <w:rPr>
          <w:rFonts w:hint="eastAsia" w:ascii="楷体_GB2312" w:hAnsi="楷体_GB2312" w:eastAsia="楷体_GB2312" w:cs="楷体_GB2312"/>
          <w:bCs/>
          <w:color w:val="auto"/>
          <w:sz w:val="32"/>
          <w:szCs w:val="32"/>
        </w:rPr>
      </w:pPr>
      <w:r>
        <w:rPr>
          <w:rFonts w:hint="eastAsia" w:ascii="楷体_GB2312" w:hAnsi="楷体_GB2312" w:eastAsia="楷体_GB2312" w:cs="楷体_GB2312"/>
          <w:bCs/>
          <w:color w:val="auto"/>
          <w:sz w:val="32"/>
          <w:szCs w:val="32"/>
        </w:rPr>
        <w:t>第四节</w:t>
      </w:r>
      <w:r>
        <w:rPr>
          <w:rFonts w:hint="eastAsia" w:ascii="楷体_GB2312" w:hAnsi="楷体_GB2312" w:eastAsia="楷体_GB2312" w:cs="楷体_GB2312"/>
          <w:bCs/>
          <w:color w:val="auto"/>
          <w:sz w:val="32"/>
          <w:szCs w:val="32"/>
          <w:lang w:val="en-US" w:eastAsia="zh-CN"/>
        </w:rPr>
        <w:t xml:space="preserve">  </w:t>
      </w:r>
      <w:r>
        <w:rPr>
          <w:rFonts w:hint="eastAsia" w:ascii="楷体_GB2312" w:hAnsi="楷体_GB2312" w:eastAsia="楷体_GB2312" w:cs="楷体_GB2312"/>
          <w:bCs/>
          <w:color w:val="auto"/>
          <w:sz w:val="32"/>
          <w:szCs w:val="32"/>
        </w:rPr>
        <w:t>完善农村基础设施和公共服务体系</w:t>
      </w:r>
      <w:bookmarkEnd w:id="280"/>
    </w:p>
    <w:p w14:paraId="4EFE62F8">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_GB2312" w:hAnsi="仿宋_GB2312" w:eastAsia="仿宋_GB2312" w:cs="仿宋_GB2312"/>
          <w:color w:val="auto"/>
          <w:sz w:val="32"/>
          <w:szCs w:val="32"/>
        </w:rPr>
        <w:t>优先农村基础设施投入，着力推进城市公共基础设施和基本公共服务建设向农村延伸覆盖，补齐路、水、暖、气、电、数、链、废等短板，提升农村教育、医疗、社会保障和公共文化服务建设，形成城乡互联互通共建共享新格局。</w:t>
      </w:r>
      <w:bookmarkStart w:id="281" w:name="_Toc31929"/>
      <w:bookmarkStart w:id="282" w:name="_Toc528079620"/>
    </w:p>
    <w:p w14:paraId="39C4D2E4">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rPr>
        <w:t>一、推进农村公路完善提质</w:t>
      </w:r>
      <w:bookmarkEnd w:id="281"/>
      <w:bookmarkEnd w:id="282"/>
    </w:p>
    <w:p w14:paraId="54256A6B">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283" w:name="_Toc528079621"/>
      <w:r>
        <w:rPr>
          <w:rFonts w:hint="eastAsia" w:ascii="仿宋_GB2312" w:hAnsi="仿宋_GB2312" w:eastAsia="仿宋_GB2312" w:cs="仿宋_GB2312"/>
          <w:color w:val="auto"/>
          <w:sz w:val="32"/>
          <w:szCs w:val="32"/>
        </w:rPr>
        <w:t>“十四五”期间，以农村公路提档升级为目标，大力推进“四好农村路”建设。重点推进建制村通双车道公路改道、自然村通硬化路等工程。认真落实《运城市深化农村公路管理养护体制改革实施方案》，提升农村公路服务能力和品质。全面推进城乡客运一体化，不断提升城乡客运服务水平。大力推进黄河一号旅游公路、汾河旅游公路、涑水河旅游公路、条山旅游公路项目建设，高标准建设市域旅游公路网体系。</w:t>
      </w:r>
      <w:bookmarkStart w:id="284" w:name="_Toc13389"/>
    </w:p>
    <w:p w14:paraId="45D786BD">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rPr>
        <w:t>二、推进农村饮水安全巩固提升</w:t>
      </w:r>
      <w:bookmarkEnd w:id="283"/>
      <w:bookmarkEnd w:id="284"/>
    </w:p>
    <w:p w14:paraId="2093B365">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加强城乡供水一体化和农村饮水安全工程规模化、标准化建设，推进农村集中式供水，提高自来水普及率，全面解决偏远村庄饮水安全问题。强化水质保障，健全农村饮水安全运行管护机制，提高农村集中供水率、自来水普及率、供水保证率、水质达标率，实现农村饮水达标全覆盖。到2025年，农村饮水条件进一步巩固提高，全市自来水普及在98%以上，实现农村饮水达标全覆盖。</w:t>
      </w:r>
      <w:bookmarkStart w:id="285" w:name="_Toc528079622"/>
      <w:bookmarkStart w:id="286" w:name="_Toc18501"/>
    </w:p>
    <w:p w14:paraId="0C23BCFA">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rPr>
        <w:t>三、推进农村物流网络建设</w:t>
      </w:r>
      <w:bookmarkEnd w:id="285"/>
      <w:bookmarkEnd w:id="286"/>
    </w:p>
    <w:p w14:paraId="27519BB9">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全面深化农村流通体制改革，</w:t>
      </w:r>
      <w:r>
        <w:rPr>
          <w:rFonts w:hint="eastAsia" w:ascii="仿宋_GB2312" w:hAnsi="仿宋_GB2312" w:eastAsia="仿宋_GB2312" w:cs="仿宋_GB2312"/>
          <w:color w:val="auto"/>
          <w:sz w:val="32"/>
          <w:szCs w:val="32"/>
          <w:lang w:val="en-US" w:eastAsia="zh-CN"/>
        </w:rPr>
        <w:t>完善县乡村三级物流配送体系，构建农村物流骨干网络，补齐物流基地、分拨中心、配送站点和冷链仓储等基础设施短板。</w:t>
      </w:r>
      <w:r>
        <w:rPr>
          <w:rFonts w:hint="eastAsia" w:ascii="仿宋_GB2312" w:hAnsi="仿宋_GB2312" w:eastAsia="仿宋_GB2312" w:cs="仿宋_GB2312"/>
          <w:color w:val="auto"/>
          <w:sz w:val="32"/>
          <w:szCs w:val="32"/>
        </w:rPr>
        <w:t>实施“互联网+流通”行动、农村电子商务发展行动，加快推进农村商贸物流网络布局，完善农村物流基础设施，加强农村资源路、产业路等建设。推进农村电商运营中心、物流配送中心建设，完善农村配送、包装、仓储等配套产业，加快形成线上线下融合、农产品进城与农资消费品下乡的双向流通格局，推进农产品流通现代化。</w:t>
      </w:r>
      <w:bookmarkStart w:id="287" w:name="_Toc515806446"/>
      <w:bookmarkStart w:id="288" w:name="_Toc28722"/>
      <w:bookmarkStart w:id="289" w:name="_Toc528079623"/>
    </w:p>
    <w:p w14:paraId="1E53FC78">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default" w:ascii="黑体" w:hAnsi="黑体" w:eastAsia="黑体" w:cs="方正楷体_GBK"/>
          <w:color w:val="auto"/>
          <w:sz w:val="32"/>
          <w:szCs w:val="32"/>
          <w:lang w:val="en-US" w:eastAsia="zh-CN"/>
        </w:rPr>
      </w:pPr>
      <w:r>
        <w:rPr>
          <w:rFonts w:hint="eastAsia" w:ascii="黑体" w:hAnsi="黑体" w:eastAsia="黑体" w:cs="方正楷体_GBK"/>
          <w:color w:val="auto"/>
          <w:sz w:val="32"/>
          <w:szCs w:val="32"/>
          <w:lang w:val="en-US" w:eastAsia="zh-CN"/>
        </w:rPr>
        <w:t>四、加快数字乡村建设</w:t>
      </w:r>
    </w:p>
    <w:p w14:paraId="2992FAF5">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default" w:ascii="黑体" w:hAnsi="黑体" w:eastAsia="黑体" w:cs="方正楷体_GBK"/>
          <w:color w:val="auto"/>
          <w:sz w:val="32"/>
          <w:szCs w:val="32"/>
          <w:lang w:val="en-US" w:eastAsia="zh-CN"/>
        </w:rPr>
      </w:pPr>
      <w:r>
        <w:rPr>
          <w:rFonts w:hint="eastAsia" w:ascii="仿宋_GB2312" w:hAnsi="仿宋_GB2312" w:eastAsia="仿宋_GB2312" w:cs="仿宋_GB2312"/>
          <w:color w:val="auto"/>
          <w:sz w:val="32"/>
          <w:szCs w:val="32"/>
          <w:lang w:val="en-US" w:eastAsia="zh-CN"/>
        </w:rPr>
        <w:t>实施数字乡村建设工程。加强乡村信息基础设施建设，加快农村光纤宽带、移动物联网、数字电视网和下一代互联网发展。加快推动遥感卫星数据在农业农村领域中的应用。推动农业生产加工和农村地区水利、公路、电力、物流、环保等基础设施数字化、智能化升级。发展智慧农业，推动物联网、大数据、人工智能、区块链等新一代信息技术与农业生产经营深度融合。推进乡村管理服务数字化，构建线上线下相结合的乡村数字惠民便民服务体系。推进“互联网+”政务服务向农村基层延伸。加强乡村教育、医疗、文化数字化建设，推进城乡公共服务资源开放共享，不断缩小城乡“数字鸿沟”。持续推进农民手机应用技能培训，加强农村网络治理。</w:t>
      </w:r>
    </w:p>
    <w:p w14:paraId="578862C7">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lang w:val="en-US" w:eastAsia="zh-CN"/>
        </w:rPr>
        <w:t>五</w:t>
      </w:r>
      <w:r>
        <w:rPr>
          <w:rFonts w:hint="eastAsia" w:ascii="黑体" w:hAnsi="黑体" w:eastAsia="黑体" w:cs="方正楷体_GBK"/>
          <w:color w:val="auto"/>
          <w:sz w:val="32"/>
          <w:szCs w:val="32"/>
        </w:rPr>
        <w:t>、构建农村清洁能源新体系</w:t>
      </w:r>
      <w:bookmarkEnd w:id="287"/>
      <w:bookmarkEnd w:id="288"/>
      <w:bookmarkEnd w:id="289"/>
    </w:p>
    <w:p w14:paraId="65058665">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推进农村能源生产和消费革命，构建清洁高效、多元互补、城乡协调、统筹发展的现代农村能源体系。推动农村清洁能源供给</w:t>
      </w:r>
      <w:r>
        <w:rPr>
          <w:rFonts w:hint="eastAsia" w:ascii="仿宋_GB2312" w:hAnsi="仿宋_GB2312" w:eastAsia="仿宋_GB2312" w:cs="仿宋_GB2312"/>
          <w:color w:val="auto"/>
          <w:sz w:val="32"/>
          <w:szCs w:val="32"/>
          <w:lang w:eastAsia="zh-CN"/>
        </w:rPr>
        <w:t>和</w:t>
      </w:r>
      <w:r>
        <w:rPr>
          <w:rFonts w:hint="eastAsia" w:ascii="仿宋_GB2312" w:hAnsi="仿宋" w:eastAsia="仿宋_GB2312" w:cs="仿宋"/>
          <w:color w:val="auto"/>
          <w:sz w:val="32"/>
          <w:szCs w:val="32"/>
          <w:lang w:val="en-US" w:eastAsia="zh-CN"/>
        </w:rPr>
        <w:t>农村可再生能源建设，</w:t>
      </w:r>
      <w:r>
        <w:rPr>
          <w:rFonts w:hint="eastAsia" w:ascii="仿宋_GB2312" w:hAnsi="仿宋_GB2312" w:eastAsia="仿宋_GB2312" w:cs="仿宋_GB2312"/>
          <w:color w:val="auto"/>
          <w:sz w:val="32"/>
          <w:szCs w:val="32"/>
        </w:rPr>
        <w:t>优化农村能源供给结构。稳妥推进农村地区散煤替代和清洁能源利用，开展农村清洁取暖工程建设。加快新一轮农村电网升级改造，推动供气设施向农村延伸，加大“煤改电”、“煤改气”、电网（农网）改造等建设，推进农村能源消费升级。大力发展清洁能源。壮大风力发电，有序发展光伏产业，推进农村屋顶分布式光伏应用，提高农村清洁能源自给率。推广农村绿色节能建筑和农用节能技术、产品，大力发展“互联网十智慧能源”，全面提升农村能源消费智能化、高效化水平。加强农村能源发展统筹谋划，探索建设农村能源革命示范区。农业废弃物资源化利用以就地消纳、能量循环、综合利用等方式为主导，采取政府支持、市场运作、社会参与、分步实施的方式，注重县乡村企联动、建管运行结合，促进全市农业秸秆废弃物的综合利用。</w:t>
      </w:r>
      <w:bookmarkStart w:id="290" w:name="_Toc20769"/>
    </w:p>
    <w:p w14:paraId="08DCDFE1">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lang w:val="en-US" w:eastAsia="zh-CN"/>
        </w:rPr>
        <w:t>六</w:t>
      </w:r>
      <w:r>
        <w:rPr>
          <w:rFonts w:hint="eastAsia" w:ascii="黑体" w:hAnsi="黑体" w:eastAsia="黑体" w:cs="方正楷体_GBK"/>
          <w:color w:val="auto"/>
          <w:sz w:val="32"/>
          <w:szCs w:val="32"/>
        </w:rPr>
        <w:t>、推进农村公共服务建设</w:t>
      </w:r>
      <w:bookmarkEnd w:id="290"/>
    </w:p>
    <w:p w14:paraId="1B7CBFDB">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进一步促进城乡公共资源均衡配置。重点提升农村教育、医疗、社会保障和公共文化服务，提高农村教育质量，推进健康乡村建设，完善统一的城乡居民基本养老保险制度，提高村级综合性文化服务中心覆盖率。健全县乡村衔接的三级养老服务网络，推动农村日间照料中心养老服务设施建设。实施农产品仓储保鲜冷链物流设施建设，推进田头小型仓储保鲜冷链设施、产地低温直销配送中心、国家骨干冷链物流基地建设，推动农业便利化、精细化、品质化发展需要。</w:t>
      </w:r>
      <w:bookmarkStart w:id="291" w:name="_Toc22434"/>
    </w:p>
    <w:p w14:paraId="68209D0C">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楷体_GBK"/>
          <w:color w:val="auto"/>
          <w:sz w:val="32"/>
          <w:szCs w:val="32"/>
          <w:lang w:val="en-US" w:eastAsia="zh-CN"/>
        </w:rPr>
        <w:t>七</w:t>
      </w:r>
      <w:r>
        <w:rPr>
          <w:rFonts w:hint="eastAsia" w:ascii="黑体" w:hAnsi="黑体" w:eastAsia="黑体" w:cs="方正楷体_GBK"/>
          <w:color w:val="auto"/>
          <w:sz w:val="32"/>
          <w:szCs w:val="32"/>
        </w:rPr>
        <w:t>、健全农村人居环境整治长效机制</w:t>
      </w:r>
      <w:bookmarkEnd w:id="291"/>
    </w:p>
    <w:p w14:paraId="4B7F3BE6">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强化地方党委和政府一把手的主体责任，建立健全“有制度、有标准、有队伍、有经费、有督查”的农村人居环境管护长效机制。探索建立农村生活垃圾、污水处理农户付费制度。综合考虑农村生活垃圾、污水处理成本、农民承受能力、财政补贴情况等因素，合理确定垃圾污水处理收费标准，完善财政补贴和农户付费合理分担机制。推广城乡环卫一体化第三方治理。鼓励农民或村集体牵头成立农村环卫合作组织或企业，吸纳农民承接本地农村人居环境改善工程和后续管护工作，全面推动《运城市农村环境卫生管理办法》落地落实。</w:t>
      </w:r>
    </w:p>
    <w:p w14:paraId="6873075C">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bookmarkStart w:id="292" w:name="_Toc28133"/>
    </w:p>
    <w:p w14:paraId="4AAAC304">
      <w:pPr>
        <w:pStyle w:val="2"/>
        <w:rPr>
          <w:rFonts w:hint="default" w:ascii="Calibri" w:hAnsi="Calibri" w:eastAsia="宋体" w:cs="Times New Roman"/>
          <w:bCs w:val="0"/>
          <w:color w:val="auto"/>
          <w:sz w:val="27"/>
          <w:szCs w:val="21"/>
        </w:rPr>
      </w:pPr>
    </w:p>
    <w:p w14:paraId="7A8D326A">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r>
        <w:rPr>
          <w:rFonts w:hint="eastAsia" w:ascii="黑体" w:hAnsi="黑体" w:eastAsia="黑体" w:cs="黑体"/>
          <w:bCs/>
          <w:color w:val="auto"/>
          <w:sz w:val="36"/>
          <w:szCs w:val="36"/>
        </w:rPr>
        <w:t>第五章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焕发乡风文明新气象</w:t>
      </w:r>
      <w:bookmarkEnd w:id="292"/>
    </w:p>
    <w:p w14:paraId="411040C1">
      <w:pPr>
        <w:keepNext w:val="0"/>
        <w:keepLines w:val="0"/>
        <w:pageBreakBefore w:val="0"/>
        <w:widowControl w:val="0"/>
        <w:pBdr>
          <w:top w:val="none" w:color="auto" w:sz="0" w:space="1"/>
          <w:left w:val="none" w:color="auto" w:sz="0" w:space="4"/>
          <w:bottom w:val="none" w:color="auto" w:sz="0" w:space="1"/>
          <w:right w:val="none" w:color="auto" w:sz="0" w:space="4"/>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ascii="仿宋" w:hAnsi="仿宋" w:eastAsia="仿宋" w:cs="仿宋"/>
          <w:color w:val="auto"/>
          <w:sz w:val="32"/>
          <w:szCs w:val="32"/>
        </w:rPr>
      </w:pPr>
    </w:p>
    <w:p w14:paraId="347F6DA6">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乡村振兴，乡风文明是保障。坚持物质文明和精神文明一起抓，打好历史文化牌，深入挖掘河东文化，提振农民精神风貌，培育文明乡风、良好家风、淳朴民风，不断提高乡村社会文明程度，以文化振兴推动运城文化强市建设。</w:t>
      </w:r>
      <w:bookmarkStart w:id="293" w:name="_Toc31928"/>
    </w:p>
    <w:p w14:paraId="5814DEF7">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黑体_GBK"/>
          <w:b/>
          <w:bCs/>
          <w:color w:val="auto"/>
          <w:sz w:val="32"/>
          <w:szCs w:val="32"/>
        </w:rPr>
      </w:pPr>
      <w:r>
        <w:rPr>
          <w:rFonts w:hint="eastAsia" w:ascii="黑体" w:hAnsi="黑体" w:eastAsia="黑体" w:cs="方正黑体_GBK"/>
          <w:color w:val="auto"/>
          <w:sz w:val="32"/>
          <w:szCs w:val="32"/>
        </w:rPr>
        <w:t>一、加强农村精神文明建设</w:t>
      </w:r>
      <w:bookmarkEnd w:id="293"/>
    </w:p>
    <w:p w14:paraId="3374767D">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坚持学习贯彻习近平新时代中国特色社会主义思想主题教</w:t>
      </w:r>
      <w:bookmarkStart w:id="347" w:name="_GoBack"/>
      <w:bookmarkEnd w:id="347"/>
      <w:r>
        <w:rPr>
          <w:rFonts w:hint="eastAsia" w:ascii="仿宋_GB2312" w:hAnsi="仿宋_GB2312" w:eastAsia="仿宋_GB2312" w:cs="仿宋_GB2312"/>
          <w:color w:val="auto"/>
          <w:sz w:val="32"/>
          <w:szCs w:val="32"/>
        </w:rPr>
        <w:t>育农村干部群众，让习近平</w:t>
      </w:r>
      <w:r>
        <w:rPr>
          <w:rFonts w:hint="eastAsia" w:ascii="仿宋_GB2312" w:hAnsi="仿宋_GB2312" w:eastAsia="仿宋_GB2312" w:cs="仿宋_GB2312"/>
          <w:color w:val="auto"/>
          <w:sz w:val="32"/>
          <w:szCs w:val="32"/>
          <w:lang w:eastAsia="zh-CN"/>
        </w:rPr>
        <w:t>新时代</w:t>
      </w:r>
      <w:r>
        <w:rPr>
          <w:rFonts w:hint="eastAsia" w:ascii="仿宋_GB2312" w:hAnsi="仿宋_GB2312" w:eastAsia="仿宋_GB2312" w:cs="仿宋_GB2312"/>
          <w:color w:val="auto"/>
          <w:sz w:val="32"/>
          <w:szCs w:val="32"/>
        </w:rPr>
        <w:t>中国特色社会主义思想在</w:t>
      </w:r>
      <w:r>
        <w:rPr>
          <w:rFonts w:hint="eastAsia" w:ascii="仿宋_GB2312" w:hAnsi="仿宋_GB2312" w:eastAsia="仿宋_GB2312" w:cs="仿宋_GB2312"/>
          <w:color w:val="auto"/>
          <w:sz w:val="32"/>
          <w:szCs w:val="32"/>
          <w:lang w:eastAsia="zh-CN"/>
        </w:rPr>
        <w:t>河东</w:t>
      </w:r>
      <w:r>
        <w:rPr>
          <w:rFonts w:hint="eastAsia" w:ascii="仿宋_GB2312" w:hAnsi="仿宋_GB2312" w:eastAsia="仿宋_GB2312" w:cs="仿宋_GB2312"/>
          <w:color w:val="auto"/>
          <w:sz w:val="32"/>
          <w:szCs w:val="32"/>
        </w:rPr>
        <w:t>大地家喻户晓，落地生根。持续推进农村精神文明建设，强化社会主义核心价值观教育，全面形成知荣辱、树新风、讲正气、促和谐的社会文明新风尚。建强公共文化服务阵地，建设新时代文明实践中心，加强政策理论宣讲力度，倡导诚信道德规范，宣传时代精神和身边优秀的人和事，树立先进典型，培养新时代高素质农民。积极开展文明村镇、星级文明户、文明家庭评选活动，培育遵纪守法、勤俭奋斗、文明礼貌、诚信待人、热心公益的纯朴民风和纯朴乡风。到2025年，全市90%的乡镇和75%的行政村达到县级以上文明村镇标准。</w:t>
      </w:r>
      <w:bookmarkStart w:id="294" w:name="_Toc11934"/>
    </w:p>
    <w:p w14:paraId="06530F83">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二、传承弘扬优秀乡土文化</w:t>
      </w:r>
      <w:bookmarkEnd w:id="294"/>
    </w:p>
    <w:p w14:paraId="4BA22310">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bookmarkStart w:id="295" w:name="_Toc3485"/>
      <w:r>
        <w:rPr>
          <w:rFonts w:hint="eastAsia" w:ascii="仿宋_GB2312" w:hAnsi="仿宋_GB2312" w:eastAsia="仿宋_GB2312" w:cs="仿宋_GB2312"/>
          <w:color w:val="auto"/>
          <w:sz w:val="32"/>
          <w:szCs w:val="32"/>
        </w:rPr>
        <w:t>深入挖掘河东乡土文化中蕴含的优秀思想、人文精神、道德规范，加强时代创新，引导农民群众爱党爱国、向上向善，孝老爱亲、重义守信、勤俭持家，守好文明精神家园。打好农耕源头历史文化牌，把优秀遗产和现代文明要素有机结合起来，打造“古中国·新运城”文化品牌，打造“关公故里”国际文化品牌，打造沿黄河文明历史文化廊带，打造华夏根祖文化国际旅游目的地，建设优秀传统文化发展示范区，让传统优秀文化在更大范围内传播，推动河东文化产业大繁荣、大发展</w:t>
      </w:r>
      <w:bookmarkStart w:id="296" w:name="_Toc520647696"/>
      <w:r>
        <w:rPr>
          <w:rFonts w:hint="eastAsia" w:ascii="仿宋_GB2312" w:hAnsi="仿宋_GB2312" w:eastAsia="仿宋_GB2312" w:cs="仿宋_GB2312"/>
          <w:color w:val="auto"/>
          <w:sz w:val="32"/>
          <w:szCs w:val="32"/>
        </w:rPr>
        <w:t>。保护古村落文化，在文化遗产保护的基础上，选择一批具有浓郁地方特色、具备传统文化特征的古村古镇进行整体保留、保护和维修利用，结合生产用具、生产生活遗物遗迹的展示，推动建设集乡土建筑和乡村民俗为一体的“乡村博物馆”，集中展示当地的村史、村情，增强农民对自身文化的认同感、归属感。加强非遗文化保护，</w:t>
      </w:r>
      <w:bookmarkEnd w:id="296"/>
      <w:r>
        <w:rPr>
          <w:rFonts w:hint="eastAsia" w:ascii="仿宋_GB2312" w:hAnsi="仿宋_GB2312" w:eastAsia="仿宋_GB2312" w:cs="仿宋_GB2312"/>
          <w:color w:val="auto"/>
          <w:sz w:val="32"/>
          <w:szCs w:val="32"/>
        </w:rPr>
        <w:t>加大非遗保护经费投入，采取集中培训骨干的方式，培训民间艺人，把非物质文化遗产有效地保护和传承下去，有效地继承和发扬传统民俗文化。</w:t>
      </w:r>
      <w:bookmarkEnd w:id="295"/>
      <w:bookmarkStart w:id="297" w:name="_Toc17471"/>
    </w:p>
    <w:p w14:paraId="6AAAFD8B">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三、深入开展移风易俗行动</w:t>
      </w:r>
      <w:bookmarkEnd w:id="297"/>
    </w:p>
    <w:p w14:paraId="602B6FC6">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推动农村修订完善村规民约和村民自治章程，积极引导广大农民崇尚科学、热爱科学、学习科学，教育引导农民群众建立“民风朴实、文明和谐，  崇尚科学、反对迷信，明礼诚信、尊老爱幼，勤劳节俭、奉献社会”的乡风民俗。开展“优秀党风带社风行动”，坚持以优良党风带动社会风气好转。充分发挥村集体和农民的主体作用，坚持党员带头和群众自治并举，发挥村民议事会、道德评议会、红白理事会、禁毒禁赌协会等群众组织的作用，坚决遏制大操大办、厚葬薄养、人情攀比、封建迷信等陈规陋习，引导群众树立喜事新办、丧事简办的生活理念。科学合理制定移风易俗章程，细化红白喜事操办细则，鼓励群众自发对红白喜事进行监督，推动红白理事会工作制度化、规范化、常态化。全面落实殡葬改革制度要求，推行火化制度，简化丧事办理流程，倡导树葬、花坛葬等生态埋葬方式。深化农村科普宣传，倡导读书用书、学文化、学技能，提高农民科学文化素养。注重通过互联网等新途径普及信息技术知识、卫生保健常识、法律法规知识等现代生活知识，引导广大农民积极融入现代社会发展大潮。</w:t>
      </w:r>
      <w:bookmarkStart w:id="298" w:name="_Toc28177"/>
      <w:bookmarkStart w:id="299" w:name="_Toc520647698"/>
    </w:p>
    <w:p w14:paraId="67255156">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四、推进实施新乡贤工程</w:t>
      </w:r>
      <w:bookmarkEnd w:id="298"/>
    </w:p>
    <w:p w14:paraId="45C47870">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挥农村优秀基层干部、乡村教师、退伍军人、高校毕业生、文化能人、返乡创业人士、科技人才等新乡贤作用，鼓励乡贤利用自己丰富的科学知识、深沉的乡土情怀、高尚的嘉言懿行，垂范乡里、感染百姓、滋润乡风、温暖乡间，把乡情乡愁转化成热爱家乡、感恩家乡、回报家乡的实际行动，带动农村经济、社会、文化等各方面发展。全面落实“凤还巢”计划，倡导新乡贤重点围绕引领农村社会新风尚、兴办公益慈善事业、繁荣发展农村文化、化解乡村矛盾纠纷、带领农民致富等方面发挥作用。积极推进新乡贤理事会建设，建立完善新乡贤吸纳和激励机制。</w:t>
      </w:r>
      <w:bookmarkStart w:id="300" w:name="_Toc10859"/>
    </w:p>
    <w:p w14:paraId="456FE5C0">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五、打造乡村文化生态</w:t>
      </w:r>
      <w:bookmarkEnd w:id="299"/>
      <w:r>
        <w:rPr>
          <w:rFonts w:hint="eastAsia" w:ascii="黑体" w:hAnsi="黑体" w:eastAsia="黑体" w:cs="方正黑体_GBK"/>
          <w:color w:val="auto"/>
          <w:sz w:val="32"/>
          <w:szCs w:val="32"/>
        </w:rPr>
        <w:t>新格局</w:t>
      </w:r>
      <w:bookmarkEnd w:id="300"/>
    </w:p>
    <w:p w14:paraId="1734DC64">
      <w:pPr>
        <w:pStyle w:val="34"/>
        <w:keepNext w:val="0"/>
        <w:keepLines w:val="0"/>
        <w:pageBreakBefore w:val="0"/>
        <w:widowControl w:val="0"/>
        <w:pBdr>
          <w:top w:val="none" w:color="auto" w:sz="0" w:space="1"/>
          <w:left w:val="none" w:color="auto" w:sz="0" w:space="4"/>
          <w:bottom w:val="none" w:color="auto" w:sz="0" w:space="1"/>
          <w:right w:val="none" w:color="auto" w:sz="0" w:space="4"/>
        </w:pBdr>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紧密结合特色小镇、美丽乡村建设，深入挖掘乡村特色文化符号，盘活地方特色文化资源，保护传承各具特色的民居、民宿原生形态，鼓励各地打造民俗、节庆系列品牌活动，使特色化、差异化的优秀乡土文化得到传播、传递、传达和传承。将移动互联网与乡村文化资源、文化设施有机融合，塑造新的乡村文化生态，形成新的文化体验。引导企业家、文化旅游创意人才、文化工作者、退休人员、文化志愿者等投身乡村文化建设，抓好农村业余文化骨干队伍建设，创新民间音乐、地方戏曲、民间舞蹈、地方曲艺的表现形态，重塑田园风光，再现乡情乡愁。大力发展具有浓郁乡土特色的民间艺术和传统手工技艺，实施传统工艺振兴计划，培育形成具有地域特色的传统工艺品，拓宽传统技艺的市场化道路，促进传统工艺提高品质、形成品牌、带动就业。鼓励和引导非遗项目向旅游景区周边及旅游线路沿线靠拢和发展，建设一批传统村落文创基地，培育一批特色旅游村落，推出一批文化创意商品，促进文化资源与现代消费需求的有效对接，提升运城乡村文化影响力。</w:t>
      </w:r>
    </w:p>
    <w:p w14:paraId="32B53930">
      <w:pPr>
        <w:keepNext w:val="0"/>
        <w:keepLines w:val="0"/>
        <w:pageBreakBefore w:val="0"/>
        <w:widowControl w:val="0"/>
        <w:kinsoku/>
        <w:wordWrap/>
        <w:topLinePunct w:val="0"/>
        <w:autoSpaceDE/>
        <w:autoSpaceDN/>
        <w:bidi w:val="0"/>
        <w:spacing w:line="650" w:lineRule="exact"/>
        <w:ind w:left="0" w:leftChars="0" w:firstLine="643" w:firstLineChars="200"/>
        <w:textAlignment w:val="auto"/>
        <w:rPr>
          <w:rFonts w:ascii="仿宋" w:hAnsi="仿宋" w:eastAsia="仿宋" w:cs="仿宋"/>
          <w:b/>
          <w:color w:val="auto"/>
          <w:sz w:val="32"/>
          <w:szCs w:val="32"/>
        </w:rPr>
      </w:pPr>
      <w:bookmarkStart w:id="301" w:name="_Toc520647704"/>
    </w:p>
    <w:p w14:paraId="45A28DD3">
      <w:pPr>
        <w:keepNext w:val="0"/>
        <w:keepLines w:val="0"/>
        <w:pageBreakBefore w:val="0"/>
        <w:widowControl w:val="0"/>
        <w:kinsoku/>
        <w:wordWrap/>
        <w:overflowPunct/>
        <w:topLinePunct w:val="0"/>
        <w:autoSpaceDE/>
        <w:autoSpaceDN/>
        <w:bidi w:val="0"/>
        <w:spacing w:line="650" w:lineRule="exact"/>
        <w:jc w:val="center"/>
        <w:textAlignment w:val="auto"/>
        <w:outlineLvl w:val="0"/>
        <w:rPr>
          <w:rFonts w:hint="eastAsia" w:ascii="黑体" w:hAnsi="黑体" w:eastAsia="黑体" w:cs="黑体"/>
          <w:bCs/>
          <w:color w:val="auto"/>
          <w:sz w:val="36"/>
          <w:szCs w:val="36"/>
        </w:rPr>
      </w:pPr>
      <w:bookmarkStart w:id="302" w:name="_Toc6689"/>
      <w:r>
        <w:rPr>
          <w:rFonts w:hint="eastAsia" w:ascii="黑体" w:hAnsi="黑体" w:eastAsia="黑体" w:cs="黑体"/>
          <w:bCs/>
          <w:color w:val="auto"/>
          <w:sz w:val="36"/>
          <w:szCs w:val="36"/>
        </w:rPr>
        <w:t>第六章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加强乡村全面治理</w:t>
      </w:r>
      <w:bookmarkEnd w:id="301"/>
      <w:bookmarkEnd w:id="302"/>
    </w:p>
    <w:p w14:paraId="1C3F0F2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p>
    <w:p w14:paraId="1445640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基层治理是国家治理的基石，坚持和加强党的全面领导，坚持以人民为中心，以增进人民福祉为出发点和落脚点，以加强基层党组织建设、增强基层党组织政治功能和组织力为关键，以加强基层政权建设和健全基层群众自治制度为重点，以改革创新和制度建设、能力建设为抓手，建立健全基层治理体制机制，推动政府治理同社会调节、居民自治良性互动，提高基层治理社会化、法治化、智能化、专业化水平。</w:t>
      </w:r>
      <w:bookmarkStart w:id="303" w:name="_Toc520647706"/>
      <w:bookmarkStart w:id="304" w:name="_Toc9763"/>
    </w:p>
    <w:p w14:paraId="1478256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b/>
          <w:bCs/>
          <w:color w:val="auto"/>
          <w:sz w:val="32"/>
          <w:szCs w:val="32"/>
        </w:rPr>
      </w:pPr>
      <w:r>
        <w:rPr>
          <w:rFonts w:hint="eastAsia" w:ascii="黑体" w:hAnsi="黑体" w:eastAsia="黑体" w:cs="方正黑体_GBK"/>
          <w:color w:val="auto"/>
          <w:sz w:val="32"/>
          <w:szCs w:val="32"/>
        </w:rPr>
        <w:t>一、加强基层党组织建设</w:t>
      </w:r>
      <w:bookmarkEnd w:id="303"/>
      <w:bookmarkEnd w:id="304"/>
    </w:p>
    <w:p w14:paraId="0E9D7AB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强化农村基层党组织的核心地位，坚持把夯实农村“三基建设”作为基层治理的出发点，不断建强农村基层组织，规范农村基础工作，提升农村干部基本能力。加强农村基层干部素质能力提升，选优配强农村党组织书记，推动村党组织书记通过选举担任村委会主任。全面建立面向脱贫村、软弱涣散村、集体经济薄弱村选派第一书记制度，注重从本村致富能手、外出务工经商返乡人员、高校毕业生、退役军人、大学生村官（选调生）、乡村教师、乡村医生、机关企事业单位退职干部到农村任职，提升干部的整体素质。全面提升抓党建促乡村振兴质量，开展“党建示范、产业兴旺、生态宜居、乡风文明、社会治理”“五面红旗”示范村创建专项行动。全面优化村级党组织设置，在以建制村为主设置党组织的基础上，在专业合作社、专业协会、农业龙头企业、农业示范基地、外出务工经商党员集中地全面建立党组织。加强合并村组、村改社区、跨村经济联合体党组织设置和明确隶属关系,  切实加强党组织对农村各类组织的领导。</w:t>
      </w:r>
      <w:bookmarkStart w:id="305" w:name="_Toc517180458"/>
      <w:bookmarkStart w:id="306" w:name="_Toc520647709"/>
      <w:bookmarkStart w:id="307" w:name="_Toc27546"/>
      <w:r>
        <w:rPr>
          <w:rFonts w:hint="eastAsia" w:ascii="仿宋_GB2312" w:hAnsi="仿宋_GB2312" w:eastAsia="仿宋_GB2312" w:cs="仿宋_GB2312"/>
          <w:color w:val="auto"/>
          <w:kern w:val="2"/>
          <w:sz w:val="32"/>
          <w:szCs w:val="32"/>
          <w:lang w:val="en-US" w:eastAsia="zh-CN" w:bidi="ar-SA"/>
        </w:rPr>
        <w:t>全面加强基层党员队伍建设</w:t>
      </w:r>
      <w:bookmarkEnd w:id="305"/>
      <w:bookmarkEnd w:id="306"/>
      <w:r>
        <w:rPr>
          <w:rFonts w:hint="eastAsia" w:ascii="仿宋_GB2312" w:hAnsi="仿宋_GB2312" w:eastAsia="仿宋_GB2312" w:cs="仿宋_GB2312"/>
          <w:color w:val="auto"/>
          <w:kern w:val="2"/>
          <w:sz w:val="32"/>
          <w:szCs w:val="32"/>
          <w:lang w:val="en-US" w:eastAsia="zh-CN" w:bidi="ar-SA"/>
        </w:rPr>
        <w:t>和党员教育管理工作，注重在致富能手中、在生产一线中、在青年农民中培养和发展党员。积极探索</w:t>
      </w:r>
      <w:bookmarkEnd w:id="307"/>
      <w:bookmarkStart w:id="308" w:name="_Toc517180460"/>
      <w:bookmarkStart w:id="309" w:name="_Toc520647711"/>
      <w:r>
        <w:rPr>
          <w:rFonts w:hint="eastAsia" w:ascii="仿宋_GB2312" w:hAnsi="仿宋_GB2312" w:eastAsia="仿宋_GB2312" w:cs="仿宋_GB2312"/>
          <w:color w:val="auto"/>
          <w:kern w:val="2"/>
          <w:sz w:val="32"/>
          <w:szCs w:val="32"/>
          <w:lang w:val="en-US" w:eastAsia="zh-CN" w:bidi="ar-SA"/>
        </w:rPr>
        <w:t>招聘大学生到村（社区）工作，到2023年，实现每个村（社区）均有1名以上全日制本科及以上学历的大学生在岗工作，为实施乡村振兴提供人才支撑。推动全面从严治党向基层延伸，加强日常监督，持续整治群众身边的不正之风和腐败问题，为乡村治理提供坚强保障。</w:t>
      </w:r>
      <w:bookmarkStart w:id="310" w:name="_Toc21597"/>
    </w:p>
    <w:p w14:paraId="738EFF9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黑体_GBK"/>
          <w:color w:val="auto"/>
          <w:sz w:val="32"/>
          <w:szCs w:val="32"/>
        </w:rPr>
        <w:t>二、深化村民自治</w:t>
      </w:r>
      <w:bookmarkEnd w:id="308"/>
      <w:r>
        <w:rPr>
          <w:rFonts w:hint="eastAsia" w:ascii="黑体" w:hAnsi="黑体" w:eastAsia="黑体" w:cs="方正黑体_GBK"/>
          <w:color w:val="auto"/>
          <w:sz w:val="32"/>
          <w:szCs w:val="32"/>
        </w:rPr>
        <w:t>管理</w:t>
      </w:r>
      <w:bookmarkEnd w:id="309"/>
      <w:bookmarkEnd w:id="310"/>
    </w:p>
    <w:p w14:paraId="11E49C16">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bookmarkStart w:id="311" w:name="_Toc520647712"/>
      <w:bookmarkStart w:id="312" w:name="_Toc14690"/>
      <w:bookmarkStart w:id="313" w:name="_Toc517180461"/>
      <w:r>
        <w:rPr>
          <w:rFonts w:hint="eastAsia" w:ascii="仿宋_GB2312" w:hAnsi="仿宋_GB2312" w:eastAsia="仿宋_GB2312" w:cs="仿宋_GB2312"/>
          <w:color w:val="auto"/>
          <w:kern w:val="2"/>
          <w:sz w:val="32"/>
          <w:szCs w:val="32"/>
          <w:lang w:val="en-US" w:eastAsia="zh-CN" w:bidi="ar-SA"/>
        </w:rPr>
        <w:t>坚持自治为基，充分加强农村基层群众性自治组织建设，健全“民主选举、民主协商、民主决策、民主管理、民主监督”机制，保障农村村民权益。强化党组织领导把关作用，规范村民委员会换届选举，全面落实村“两委”班子成员资格联审机制，坚决防止政治上的两面人，受过刑事处罚、存在“村霸”和涉黑涉恶及涉及宗族恶势力等问题人员，非法宗教与邪教的组织者、实施者、参与者等进入村“两委”班子。建立健全村民自治机制，完善以党的基层组织为核心、村民自治和村务监督组织为基础、集体经济组织和农民合作组织为纽带、各种经济服务组织为补充的村级治理体制机制。在基层公共事务和公益事业中广泛实行群众自我管理、自我服务、自我教育、自我监督，拓宽群众反映意见和建议的渠道。推进村基层民主规范、村级重大事务决策程序，聚焦群众关心的民生实事和重要事项，定期开展民主协商。完善党务、村务、财务公开制度，及时公开权力事项，接受群众监督。强化基层纪检监察组织与村务监督委员会的沟通协作、有效衔接，形成监督合力。创新基层管理体制机制，整合优化公共服务和行政审批职责，打造“一门式办理”、“一站式服务”的综合服务平台。在村庄普遍建立网上服务站点，逐步形成完善的乡村便民服务体系。</w:t>
      </w:r>
      <w:bookmarkEnd w:id="311"/>
      <w:bookmarkEnd w:id="312"/>
      <w:bookmarkEnd w:id="313"/>
      <w:bookmarkStart w:id="314" w:name="_Toc517180466"/>
      <w:bookmarkStart w:id="315" w:name="_Toc520647719"/>
      <w:bookmarkStart w:id="316" w:name="_Toc26590"/>
    </w:p>
    <w:p w14:paraId="4E10463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三、</w:t>
      </w:r>
      <w:bookmarkEnd w:id="314"/>
      <w:bookmarkEnd w:id="315"/>
      <w:r>
        <w:rPr>
          <w:rFonts w:hint="eastAsia" w:ascii="黑体" w:hAnsi="黑体" w:eastAsia="黑体" w:cs="方正黑体_GBK"/>
          <w:color w:val="auto"/>
          <w:sz w:val="32"/>
          <w:szCs w:val="32"/>
        </w:rPr>
        <w:t>推进乡村法治建设</w:t>
      </w:r>
      <w:bookmarkEnd w:id="316"/>
    </w:p>
    <w:p w14:paraId="59FE601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坚持法治为本，树立依法治理理念，强化法律在维护农民权益、规范市场运行、农业支持保护、生态环境治理、化解农村社会矛盾等方面的权威地位。健全维护农民权益、规范市场运行、“三农”支持保护、化解农村社会矛盾等方面的地方法规，完善村级事务决策、公开、监督等方面的制度机制，将政府涉农各项工作纳入法治化轨道。推进基层治理法治建设。提升基层党员、干部法治素养，引导群众积极参与、依法支持和配合基层治理。完善基层公共法律服务体系，加强和规范农村法律顾问工作，实现“一村（社区）一法律顾问”的有效覆盖。鼓励有条件的地方在村委会或当地社区服务中心建立公共法律服务工作室。建立健全乡村调解、县市仲裁、司法保障的多元矛盾纠纷调处机制，推进法律援助工作联系点向农村辐射，实现法律供给的常态化，筑牢维护乡村社会稳定的“第一道防线”。营造自觉守法、办事依法、遇事找法、解决问题用法、化解矛盾靠法的农村法治氛围。加强依法制定村规民约、居民公约，健全备案和履行机制，确保符合法律法规和公序良俗。深入推进涉农综合执法改革，加强涉农部门执法规范化建设，推进涉</w:t>
      </w:r>
      <w:r>
        <w:rPr>
          <w:rFonts w:hint="eastAsia" w:ascii="仿宋_GB2312" w:hAnsi="仿宋_GB2312" w:eastAsia="仿宋_GB2312" w:cs="仿宋_GB2312"/>
          <w:color w:val="auto"/>
          <w:spacing w:val="-6"/>
          <w:kern w:val="2"/>
          <w:sz w:val="32"/>
          <w:szCs w:val="32"/>
          <w:lang w:val="en-US" w:eastAsia="zh-CN" w:bidi="ar-SA"/>
        </w:rPr>
        <w:t>农执法力量下沉。优化乡镇机构设置，理顺乡镇管理体制，坚持乡村共建、以乡带村，推动乡村法治建设平衡发展、协调推进。</w:t>
      </w:r>
      <w:bookmarkStart w:id="317" w:name="_Toc21503"/>
      <w:bookmarkStart w:id="318" w:name="_Toc517180467"/>
      <w:bookmarkStart w:id="319" w:name="_Toc520647720"/>
    </w:p>
    <w:p w14:paraId="1D52B95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楷体_GBK"/>
          <w:color w:val="auto"/>
          <w:sz w:val="32"/>
          <w:szCs w:val="32"/>
        </w:rPr>
      </w:pPr>
      <w:r>
        <w:rPr>
          <w:rFonts w:hint="eastAsia" w:ascii="黑体" w:hAnsi="黑体" w:eastAsia="黑体" w:cs="方正黑体_GBK"/>
          <w:color w:val="auto"/>
          <w:sz w:val="32"/>
          <w:szCs w:val="32"/>
        </w:rPr>
        <w:t>四、加强乡村德治建设</w:t>
      </w:r>
      <w:bookmarkEnd w:id="317"/>
    </w:p>
    <w:p w14:paraId="4F58216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全面加强农村思想道德建设，培育践行社会主义核心价值观，推动习近平新时代中国特色社会主义思想进社区、进农村、进家庭。充分发挥德治礼序、乡规民约在农村治理中的作用，坚持崇德重礼和遵纪守法相结合，大力弘扬运城千百年来形成的耕读传家、崇文尚礼，吃苦耐劳、勤俭持家，包容友善、积极进取“六大好民风”，引导农民爱党爱国、向上向善，孝老爱亲、重义守信、勤俭持家。建立健全道德激励约束和评议机制，开展道德模范评选表彰活动，注重发挥家庭家教家风在基层治理中的重要作用。树立乡贤好人，倡导家风家训，以乡情为纽带，以优秀基层干部、道德模范、身边好人的嘉言懿行为示范引导，培育新型农民，涵育文明乡风。组织开展科学常识、卫生防疫知识、应急知识普及和诚信宣传教育，深入开展爱国卫生运动，遏制各类陈规陋习，抵制封建迷信活动。</w:t>
      </w:r>
      <w:bookmarkStart w:id="320" w:name="_Toc22560"/>
    </w:p>
    <w:p w14:paraId="58C514C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五、建设平安乡村</w:t>
      </w:r>
      <w:bookmarkEnd w:id="318"/>
      <w:bookmarkEnd w:id="319"/>
      <w:bookmarkEnd w:id="320"/>
    </w:p>
    <w:p w14:paraId="53D404E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加快完善农村治安防控体系建设，健全落实社会治安综合治理领导责任制，严格落实“属地管理”“谁主管谁负责”，不断提升基层党政领导的责任意识。深入开展扫黑除恶专项行动，严厉打击农村黑恶势力、宗族恶势力，严厉打击黄赌毒盗拐骗等违法犯罪活动。正确引导宗教信仰，依法加大对农村非法宗教活动和境外渗透活动打击力度，依法制止利用宗教干预农村公共事务，继续整治农村乱建庙宇、滥塑宗教造像。加快推进综治中心标准化建设，完善县乡村三级综治中心功能和运行机制。推进乡村两级调解中心规范化建设，建立重大矛盾预测预警、应急处突机制。推进农村社区警务覆盖，加强农村警务、消防、安全生产工作，坚决遏制重特大安全事故。加强基层智慧治理能力建设，实施“互联网+基层治理”行动，推动基层治理数字化智能化建设，提升政策宣传、民情沟通、便民服务效能，实现基层服务和管理精细化精准化。落实平安乡村建设主体责任。党支部村委会是平安乡村建设的第一责任人，确实尽到管理农村、管好农村的职责，处理问题、解决矛盾要做到有法可依，疏通群众维权的途径，防止群体事件和群体上访。健全落实社会治安综合治理领导责任制，严格落实“属地管理”“谁主管谁负责”，不断提升基层党政领导的责任意识。</w:t>
      </w:r>
    </w:p>
    <w:p w14:paraId="05AC5350">
      <w:pPr>
        <w:pStyle w:val="10"/>
        <w:keepNext w:val="0"/>
        <w:keepLines w:val="0"/>
        <w:pageBreakBefore w:val="0"/>
        <w:widowControl w:val="0"/>
        <w:kinsoku/>
        <w:wordWrap/>
        <w:overflowPunct/>
        <w:topLinePunct w:val="0"/>
        <w:autoSpaceDE/>
        <w:autoSpaceDN/>
        <w:bidi w:val="0"/>
        <w:spacing w:line="650" w:lineRule="exact"/>
        <w:ind w:left="0" w:firstLine="640" w:firstLineChars="200"/>
        <w:jc w:val="center"/>
        <w:textAlignment w:val="auto"/>
        <w:outlineLvl w:val="0"/>
        <w:rPr>
          <w:rFonts w:hint="eastAsia" w:ascii="黑体" w:hAnsi="黑体" w:eastAsia="黑体" w:cs="黑体"/>
          <w:bCs/>
          <w:color w:val="auto"/>
          <w:sz w:val="36"/>
          <w:szCs w:val="36"/>
          <w:lang w:val="en-US" w:eastAsia="zh-CN"/>
        </w:rPr>
      </w:pPr>
      <w:r>
        <w:rPr>
          <w:rFonts w:hint="eastAsia" w:ascii="仿宋" w:hAnsi="仿宋" w:eastAsia="仿宋" w:cs="仿宋"/>
          <w:color w:val="auto"/>
          <w:sz w:val="32"/>
          <w:szCs w:val="32"/>
          <w:lang w:val="en-US"/>
        </w:rPr>
        <w:t xml:space="preserve"> </w:t>
      </w:r>
      <w:bookmarkStart w:id="321" w:name="_Toc31971"/>
      <w:r>
        <w:rPr>
          <w:rFonts w:hint="eastAsia" w:ascii="黑体" w:hAnsi="黑体" w:eastAsia="黑体" w:cs="黑体"/>
          <w:bCs/>
          <w:color w:val="auto"/>
          <w:sz w:val="36"/>
          <w:szCs w:val="36"/>
          <w:lang w:val="en-US" w:eastAsia="zh-CN"/>
        </w:rPr>
        <w:t xml:space="preserve">  </w:t>
      </w:r>
    </w:p>
    <w:p w14:paraId="57960078">
      <w:pPr>
        <w:pStyle w:val="10"/>
        <w:keepNext w:val="0"/>
        <w:keepLines w:val="0"/>
        <w:pageBreakBefore w:val="0"/>
        <w:widowControl w:val="0"/>
        <w:kinsoku/>
        <w:wordWrap/>
        <w:overflowPunct/>
        <w:topLinePunct w:val="0"/>
        <w:autoSpaceDE/>
        <w:autoSpaceDN/>
        <w:bidi w:val="0"/>
        <w:spacing w:line="650" w:lineRule="exact"/>
        <w:ind w:left="0" w:firstLine="0" w:firstLineChars="0"/>
        <w:jc w:val="center"/>
        <w:textAlignment w:val="auto"/>
        <w:outlineLvl w:val="0"/>
        <w:rPr>
          <w:rFonts w:hint="eastAsia" w:ascii="黑体" w:hAnsi="黑体" w:eastAsia="黑体" w:cs="黑体"/>
          <w:bCs/>
          <w:color w:val="auto"/>
          <w:sz w:val="36"/>
          <w:szCs w:val="36"/>
        </w:rPr>
      </w:pPr>
      <w:r>
        <w:rPr>
          <w:rFonts w:hint="eastAsia" w:ascii="黑体" w:hAnsi="黑体" w:eastAsia="黑体" w:cs="黑体"/>
          <w:bCs/>
          <w:color w:val="auto"/>
          <w:sz w:val="36"/>
          <w:szCs w:val="36"/>
        </w:rPr>
        <w:t>第七章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深化农村改革</w:t>
      </w:r>
      <w:bookmarkEnd w:id="321"/>
    </w:p>
    <w:p w14:paraId="62B80871">
      <w:pPr>
        <w:keepNext w:val="0"/>
        <w:keepLines w:val="0"/>
        <w:pageBreakBefore w:val="0"/>
        <w:widowControl w:val="0"/>
        <w:pBdr>
          <w:top w:val="none" w:color="auto" w:sz="0" w:space="1"/>
          <w:left w:val="none" w:color="auto" w:sz="0" w:space="4"/>
          <w:bottom w:val="none" w:color="auto" w:sz="0" w:space="1"/>
          <w:right w:val="none" w:color="auto" w:sz="0" w:space="4"/>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ascii="仿宋" w:hAnsi="仿宋" w:eastAsia="仿宋" w:cs="仿宋"/>
          <w:color w:val="auto"/>
          <w:sz w:val="32"/>
          <w:szCs w:val="32"/>
        </w:rPr>
      </w:pPr>
    </w:p>
    <w:p w14:paraId="2D9C8BCE">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以完善产权制度和要素市场化配置为重点，全面深化农村改革，盘活农村资源资产，激发农村发展活力，拓宽农民增收渠道，加快推动乡村振兴农民生活富裕。</w:t>
      </w:r>
      <w:bookmarkStart w:id="322" w:name="_Toc6931"/>
    </w:p>
    <w:p w14:paraId="02104F8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一、深化农村集体经济组织改革</w:t>
      </w:r>
      <w:bookmarkEnd w:id="322"/>
    </w:p>
    <w:p w14:paraId="2AD50C3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实现农村集体经济发展和管理水平提升，重点是探索改革新的管理和经营模式，改变现有“政经合一”一把抓的模式，实现“政经分离”。即农村“两委”的日常管理与集体经营的相分离。成立“（股份）经济合作（联合）社”，将集体经济职能从村委会分离出来。集体经济组织负责经营和管理村级集体“三资”，提出“三资”经营管理重大事项，组织经济收入与分配。村委会主要负责社会管理和公共事业发展事务。从2021年起，力争用三年时间，全面实现村民委员会与村级集体经济组织政经分离，在权属确认、组织机构、经营管理、指导监督等方面创新管理机制，保障集体经济组织和成员权益，促进村级集体经济持续健康发展。</w:t>
      </w:r>
      <w:bookmarkStart w:id="323" w:name="_Toc520647775"/>
      <w:bookmarkStart w:id="324" w:name="_Toc31556"/>
    </w:p>
    <w:p w14:paraId="669153E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二、</w:t>
      </w:r>
      <w:bookmarkStart w:id="325" w:name="_Toc517180524"/>
      <w:r>
        <w:rPr>
          <w:rFonts w:hint="eastAsia" w:ascii="黑体" w:hAnsi="黑体" w:eastAsia="黑体" w:cs="方正黑体_GBK"/>
          <w:color w:val="auto"/>
          <w:sz w:val="32"/>
          <w:szCs w:val="32"/>
        </w:rPr>
        <w:t>落实承包地“三权分置”</w:t>
      </w:r>
      <w:bookmarkEnd w:id="323"/>
      <w:bookmarkEnd w:id="325"/>
      <w:r>
        <w:rPr>
          <w:rFonts w:hint="eastAsia" w:ascii="黑体" w:hAnsi="黑体" w:eastAsia="黑体" w:cs="方正黑体_GBK"/>
          <w:color w:val="auto"/>
          <w:sz w:val="32"/>
          <w:szCs w:val="32"/>
        </w:rPr>
        <w:t>制度</w:t>
      </w:r>
      <w:bookmarkEnd w:id="324"/>
    </w:p>
    <w:p w14:paraId="2B738A9B">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坚持农村土地集体所有权的根本地位，充分发挥土地集体所有的优势和作用，切实保护好农民集体土地权益。稳定农户土地承包权，落实好第二轮土地承包到期后再延长30年的政策，加快建成农村土地承包信息管理系统平台，实现承包土地信息联通共享。做好农村承包合同管理，妥善化解矛盾，积极探索确权成果运用。平等保护土地经营权，依法维护经营主体从事农业生产所需的各项权利。完善县、乡、村三级农村土地流转服务体系，加强农村产权交易市场建设，加强流转合同管理，研究落实工商资本租赁农地监管和风险防范机制。</w:t>
      </w:r>
      <w:bookmarkStart w:id="326" w:name="_Toc517180525"/>
      <w:r>
        <w:rPr>
          <w:rFonts w:hint="eastAsia" w:ascii="仿宋_GB2312" w:hAnsi="仿宋_GB2312" w:eastAsia="仿宋_GB2312" w:cs="仿宋_GB2312"/>
          <w:color w:val="auto"/>
          <w:kern w:val="2"/>
          <w:sz w:val="32"/>
          <w:szCs w:val="32"/>
          <w:lang w:val="en-US" w:eastAsia="zh-CN" w:bidi="ar-SA"/>
        </w:rPr>
        <w:t>加快构建现代新型农业经营体系，鼓励采用土地股份合作、土地托管、代耕代种等多种经营方式，探索更多放活土地经营权的有效途径。鼓励基层结合实际，积极探索土地承包权有偿退出、土地经营权抵押贷款、土地经营权入股农业产业化经营等业务。</w:t>
      </w:r>
      <w:bookmarkStart w:id="327" w:name="_Toc18911"/>
      <w:bookmarkStart w:id="328" w:name="_Toc520647776"/>
    </w:p>
    <w:p w14:paraId="1367199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三、推动农村宅基地“三权分置”改革</w:t>
      </w:r>
      <w:bookmarkEnd w:id="326"/>
      <w:bookmarkEnd w:id="327"/>
      <w:bookmarkEnd w:id="328"/>
    </w:p>
    <w:p w14:paraId="70E85C0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探索农村宅基地集体所有权、农户资格权、宅基地及农房使用权“三权分置”的具体实现形式。加强农村空心院清理，完善闲置废弃宅基地退出、补偿、安置、收益分配等方面的配套政策。探索完善宅基地资格权多种实现形式，对退出宅基地资格权的农民，可自愿选择货币补偿、置换商品房、养老和社保等多种置换方式。严格实行土地用途管制，严禁城镇居民到农村购买宅基地，严禁下乡利用农村宅基地建设别墅大院和私人会馆，严禁借流转之名违法违规圈占、买卖宅基地。对进城落户的农村村民，可以多渠道筹集资金，探索通过多种方式鼓励其自愿有偿退出宅基地。全面加快“房地一体”的农村宅基地和集体建设用地确权登记颁证工作。支持农村集体经济组织依法采取租赁、入股等方式使用建设用地举办农村新产业，鼓励各种所有制经济主体参与农村新业态项目，平等受让建设用地土地使用权。稳步推进农村集体经营性建设用地入市改革试点，在拓展土地出让方式和入市主体范围方面进行探索，推动招、拍、挂方式入市交易，推动土地股份合作社、土地专营公司、集体资产管理公司等作为入市主体尝试。在符合土地利用总体规划前提下，允许县级政府通过村土地利用规划，调整优化村庄用地布局，有效利用农村零星分散的存量建设用地。</w:t>
      </w:r>
      <w:bookmarkStart w:id="329" w:name="_Toc29241"/>
      <w:bookmarkStart w:id="330" w:name="_Toc520647777"/>
      <w:bookmarkStart w:id="331" w:name="_Toc517180526"/>
    </w:p>
    <w:p w14:paraId="43F294C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四、加强农村</w:t>
      </w:r>
      <w:r>
        <w:rPr>
          <w:rFonts w:hint="eastAsia" w:ascii="黑体" w:hAnsi="黑体" w:eastAsia="黑体" w:cs="方正黑体_GBK"/>
          <w:color w:val="auto"/>
          <w:sz w:val="32"/>
          <w:szCs w:val="32"/>
          <w:lang w:eastAsia="zh-CN"/>
        </w:rPr>
        <w:t>集体</w:t>
      </w:r>
      <w:r>
        <w:rPr>
          <w:rFonts w:hint="eastAsia" w:ascii="黑体" w:hAnsi="黑体" w:eastAsia="黑体" w:cs="方正黑体_GBK"/>
          <w:color w:val="auto"/>
          <w:sz w:val="32"/>
          <w:szCs w:val="32"/>
        </w:rPr>
        <w:t>“三资”</w:t>
      </w:r>
      <w:r>
        <w:rPr>
          <w:rFonts w:hint="eastAsia" w:ascii="黑体" w:hAnsi="黑体" w:eastAsia="黑体" w:cs="方正黑体_GBK"/>
          <w:color w:val="auto"/>
          <w:sz w:val="32"/>
          <w:szCs w:val="32"/>
          <w:lang w:eastAsia="zh-CN"/>
        </w:rPr>
        <w:t>管</w:t>
      </w:r>
      <w:r>
        <w:rPr>
          <w:rFonts w:hint="eastAsia" w:ascii="黑体" w:hAnsi="黑体" w:eastAsia="黑体" w:cs="方正黑体_GBK"/>
          <w:color w:val="auto"/>
          <w:sz w:val="32"/>
          <w:szCs w:val="32"/>
        </w:rPr>
        <w:t>理和集体产权制度改革</w:t>
      </w:r>
      <w:bookmarkEnd w:id="329"/>
      <w:bookmarkEnd w:id="330"/>
      <w:bookmarkEnd w:id="331"/>
    </w:p>
    <w:p w14:paraId="6FC5E723">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加强农村集体“资源、资金、资产”管理，建立健全集体资产登记、保管、使用、处置等制度，按照全省统一安排，加快农村集体资产监督管理平台建设。在部分县（市、区）开展农村集体“三资”管理规范化建设试点。深化农村集体产权制度改革，在股份有偿退出、抵押担保、继承等方面积极探索。切实维护农村集体经济组织及其成员的合法权益，促进集体资产保值增值。大力发展壮大农村集体经济，盘活农村集体资产，提高农村各类资源要素的配置和利用效率，多途径发展壮大集体经济。支持村集体流转或利用机动地、荒地和村庄整治、宅基地复垦等结余的土地及其他可利用的集体资源，通过领办或参股等形式，发展现代农业、乡村旅游、民宿经济等实体。支持村集体创办农业生产类、综合服务类合作社等服务实体。支持村集体在符合规划的前提下，盘活闲置房产或开发利用集体经营性建设用地兴办物业项目。维护进城落户农民土地承包权、宅基地使用权、集体收益分配权，引导进城落户农民依法自愿有偿转让上述权益。</w:t>
      </w:r>
      <w:bookmarkStart w:id="332" w:name="_Toc520647778"/>
      <w:bookmarkStart w:id="333" w:name="_Toc517180527"/>
      <w:bookmarkStart w:id="334" w:name="_Toc22429"/>
    </w:p>
    <w:p w14:paraId="2925AAC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五、</w:t>
      </w:r>
      <w:bookmarkEnd w:id="332"/>
      <w:bookmarkEnd w:id="333"/>
      <w:r>
        <w:rPr>
          <w:rFonts w:hint="eastAsia" w:ascii="黑体" w:hAnsi="黑体" w:eastAsia="黑体" w:cs="方正黑体_GBK"/>
          <w:color w:val="auto"/>
          <w:sz w:val="32"/>
          <w:szCs w:val="32"/>
        </w:rPr>
        <w:t>构建农民多重收入的形成机制</w:t>
      </w:r>
      <w:bookmarkEnd w:id="334"/>
    </w:p>
    <w:p w14:paraId="5DFD49E2">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bookmarkStart w:id="335" w:name="_Toc6210"/>
      <w:r>
        <w:rPr>
          <w:rFonts w:hint="eastAsia" w:ascii="仿宋_GB2312" w:hAnsi="仿宋_GB2312" w:eastAsia="仿宋_GB2312" w:cs="仿宋_GB2312"/>
          <w:color w:val="auto"/>
          <w:kern w:val="2"/>
          <w:sz w:val="32"/>
          <w:szCs w:val="32"/>
          <w:lang w:val="en-US" w:eastAsia="zh-CN" w:bidi="ar-SA"/>
        </w:rPr>
        <w:t>积极探索农民多收入机制。提高农民务工收入，鼓励农民进城务工、当地务工和农闲临工，提高农民的劳务收入。提高农民经营性收入，通过技术提升实现质量发展，增大农地经营收入，鼓励农民扩大非农经营收入，增加农民收入渠道。增加农民财产性收入，鼓励农民进行土地流转、房屋租赁、资产入股等形式的资产经营，形成财产性收入。增加农民金融性收入，通过农村内置金融形式，以资金互助及存储借贷等，增加农民资金利用渠道和收入。保障农民转移性收入，落实中央、省、市强农惠农富农政策及支持返乡农民工创业就业的一系列政策措施，提高政策的导向性、精准性、实效性，增加农民转移性收入。推动农民创业就业，加强农民就业技能培训、岗位技能提升培训和创新创业培训，提升农村劳动者素质和就业能力，加快建设人人持证的技能社会。促进更多农民工就地就近就业，便于照顾未成年子女，全面落实未成年人保护法等法律法规。鼓励返乡人员发挥自身资本、技术、信息等优势，创办领办家庭农场、农民合作社、农业企业、农业社会化服务组织等新型农业经营主体。健全城乡统一的就业服务体系，实施乡村就业创业促进行动，拓展农民增收渠道，持续促进农民增收致富。</w:t>
      </w:r>
      <w:bookmarkEnd w:id="335"/>
      <w:bookmarkStart w:id="336" w:name="_Toc517180532"/>
      <w:bookmarkStart w:id="337" w:name="_Toc31563"/>
      <w:bookmarkStart w:id="338" w:name="_Toc520647798"/>
    </w:p>
    <w:p w14:paraId="7CED7868">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六、创新金融支农</w:t>
      </w:r>
      <w:bookmarkEnd w:id="336"/>
      <w:r>
        <w:rPr>
          <w:rFonts w:hint="eastAsia" w:ascii="黑体" w:hAnsi="黑体" w:eastAsia="黑体" w:cs="方正黑体_GBK"/>
          <w:color w:val="auto"/>
          <w:sz w:val="32"/>
          <w:szCs w:val="32"/>
        </w:rPr>
        <w:t>服务</w:t>
      </w:r>
      <w:bookmarkEnd w:id="337"/>
      <w:bookmarkEnd w:id="338"/>
    </w:p>
    <w:p w14:paraId="07CEBA4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仿宋" w:hAnsi="仿宋" w:eastAsia="仿宋" w:cs="仿宋"/>
          <w:color w:val="auto"/>
          <w:sz w:val="32"/>
          <w:szCs w:val="32"/>
        </w:rPr>
      </w:pPr>
      <w:r>
        <w:rPr>
          <w:rFonts w:hint="eastAsia" w:ascii="仿宋_GB2312" w:hAnsi="仿宋_GB2312" w:eastAsia="仿宋_GB2312" w:cs="仿宋_GB2312"/>
          <w:color w:val="auto"/>
          <w:kern w:val="2"/>
          <w:sz w:val="32"/>
          <w:szCs w:val="32"/>
          <w:lang w:val="en-US" w:eastAsia="zh-CN" w:bidi="ar-SA"/>
        </w:rPr>
        <w:t>积极创新融资模式和金融产品，加大涉农信贷投放总量。加快信贷产品创新和对原有产品的优化升级，实现与农户需求的无缝对接。发展“农户联保十互助金担保+农民专业合作社担保”等模式的农民专业合作社贷款，针对农业企业，适度发放季节性收购贷款等，扩大对“三农”的支持面。继续把小额信用贷款、联保贷款作为扶持个体农民、贫困农户、低收入创业群体的特惠手段，不断丰富针对不同人群的小额贷款产品。探索以存货、仓单等作为风险缓释手段的贷款融资方式，推广适合新型农业经营主体的订单融资和应收账款融资业务，开展包括大型农机具在内的农业生产设备、设施抵押贷款业务。稳妥有序推进农村承包土地经营权、农民住房财产权、集体经营性建设用地使用权抵押贷款试点。稳妥有序推进农民专业合作社资金互助业务试点。稳步扩大改善农村人居环境政策性金融贷款试点范围。鼓励农业保险产品创新，继续提高政策性农业保险保费补贴标准，对照省级财政积极鼓励市县因地制宜开展地方特色政策性农业保险险种，并采取以奖代补的方式对开展地方特色农业保险保费补贴的县(市、区)给予奖补政策利好，在全市逐步扩大特色农业产品保险以奖代补的范围，推动建立多层次、多领域的政策性农业保险体系。落实国家农业再保险体系和大灾风险分散机制，积极开展天气指数保险、农产品价格和收入保险、“保险+期货”、农田水利设施保险、贷款保证保险等试点。</w:t>
      </w:r>
    </w:p>
    <w:p w14:paraId="77C4135B">
      <w:pPr>
        <w:spacing w:line="650" w:lineRule="exact"/>
        <w:rPr>
          <w:rFonts w:hint="eastAsia" w:ascii="黑体" w:hAnsi="黑体" w:eastAsia="黑体" w:cs="黑体"/>
          <w:bCs/>
          <w:color w:val="auto"/>
          <w:sz w:val="36"/>
          <w:szCs w:val="36"/>
        </w:rPr>
      </w:pPr>
      <w:bookmarkStart w:id="339" w:name="_Toc1828"/>
    </w:p>
    <w:p w14:paraId="573B19BC">
      <w:pPr>
        <w:keepNext w:val="0"/>
        <w:keepLines w:val="0"/>
        <w:pageBreakBefore w:val="0"/>
        <w:widowControl w:val="0"/>
        <w:kinsoku/>
        <w:wordWrap/>
        <w:overflowPunct/>
        <w:topLinePunct w:val="0"/>
        <w:autoSpaceDE/>
        <w:autoSpaceDN/>
        <w:bidi w:val="0"/>
        <w:spacing w:line="650" w:lineRule="exact"/>
        <w:ind w:firstLine="2880" w:firstLineChars="800"/>
        <w:jc w:val="left"/>
        <w:textAlignment w:val="auto"/>
        <w:outlineLvl w:val="9"/>
        <w:rPr>
          <w:rFonts w:hint="eastAsia" w:ascii="黑体" w:hAnsi="黑体" w:eastAsia="黑体" w:cs="黑体"/>
          <w:bCs/>
          <w:color w:val="auto"/>
          <w:sz w:val="36"/>
          <w:szCs w:val="36"/>
        </w:rPr>
      </w:pPr>
      <w:r>
        <w:rPr>
          <w:rFonts w:hint="eastAsia" w:ascii="黑体" w:hAnsi="黑体" w:eastAsia="黑体" w:cs="黑体"/>
          <w:bCs/>
          <w:color w:val="auto"/>
          <w:sz w:val="36"/>
          <w:szCs w:val="36"/>
        </w:rPr>
        <w:t>第八章</w:t>
      </w:r>
      <w:r>
        <w:rPr>
          <w:rFonts w:hint="eastAsia" w:ascii="黑体" w:hAnsi="黑体" w:eastAsia="黑体" w:cs="黑体"/>
          <w:bCs/>
          <w:color w:val="auto"/>
          <w:sz w:val="36"/>
          <w:szCs w:val="36"/>
          <w:lang w:val="en-US" w:eastAsia="zh-CN"/>
        </w:rPr>
        <w:t xml:space="preserve">  </w:t>
      </w:r>
      <w:r>
        <w:rPr>
          <w:rFonts w:hint="eastAsia" w:ascii="黑体" w:hAnsi="黑体" w:eastAsia="黑体" w:cs="黑体"/>
          <w:bCs/>
          <w:color w:val="auto"/>
          <w:sz w:val="36"/>
          <w:szCs w:val="36"/>
        </w:rPr>
        <w:t>保障措施</w:t>
      </w:r>
      <w:bookmarkEnd w:id="339"/>
    </w:p>
    <w:p w14:paraId="03075B5D">
      <w:pPr>
        <w:keepNext w:val="0"/>
        <w:keepLines w:val="0"/>
        <w:pageBreakBefore w:val="0"/>
        <w:widowControl w:val="0"/>
        <w:pBdr>
          <w:top w:val="none" w:color="auto" w:sz="0" w:space="1"/>
          <w:left w:val="none" w:color="auto" w:sz="0" w:space="4"/>
          <w:bottom w:val="none" w:color="auto" w:sz="0" w:space="1"/>
          <w:right w:val="none" w:color="auto" w:sz="0" w:space="4"/>
        </w:pBdr>
        <w:tabs>
          <w:tab w:val="left" w:pos="1440"/>
        </w:tabs>
        <w:kinsoku/>
        <w:wordWrap/>
        <w:topLinePunct w:val="0"/>
        <w:autoSpaceDE/>
        <w:autoSpaceDN/>
        <w:bidi w:val="0"/>
        <w:adjustRightInd w:val="0"/>
        <w:snapToGrid w:val="0"/>
        <w:spacing w:line="650" w:lineRule="exact"/>
        <w:ind w:left="0" w:leftChars="0" w:firstLine="640" w:firstLineChars="200"/>
        <w:textAlignment w:val="auto"/>
        <w:rPr>
          <w:rFonts w:ascii="仿宋" w:hAnsi="仿宋" w:eastAsia="仿宋" w:cs="仿宋"/>
          <w:color w:val="auto"/>
          <w:sz w:val="32"/>
          <w:szCs w:val="32"/>
        </w:rPr>
      </w:pPr>
    </w:p>
    <w:p w14:paraId="4540AE80">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仿宋"/>
          <w:color w:val="auto"/>
          <w:sz w:val="32"/>
          <w:szCs w:val="32"/>
        </w:rPr>
      </w:pPr>
      <w:bookmarkStart w:id="340" w:name="_Toc26528"/>
      <w:r>
        <w:rPr>
          <w:rFonts w:hint="eastAsia" w:ascii="黑体" w:hAnsi="黑体" w:eastAsia="黑体" w:cs="方正黑体_GBK"/>
          <w:color w:val="auto"/>
          <w:sz w:val="32"/>
          <w:szCs w:val="32"/>
        </w:rPr>
        <w:t>一、强化乡村振兴人才支撑</w:t>
      </w:r>
      <w:bookmarkEnd w:id="340"/>
    </w:p>
    <w:p w14:paraId="4CB9EBF7">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建立乡村人才自主培养与人才引进并举的乡村人力资源开发机制，促进人才向农村集聚。制定和落实人才政策，注重选派熟悉“三农”工作、具有现代农业发展理念的干部进入各级党政领导班子，建立和完善年轻干部到农村一线培育锻炼机制，吸引更多的人才到农村工作，培养造就一支懂农业、爱农村、爱农民的“三农”工作队伍。加强与山西农业大学、西北农林科技大学等农业院校和科研机构的联合与合作，积极引进农业科技人才，全面提升农业新技术研发、推广水平。同时依托科研院所的技术和人才优势，在全市建立人才培养基地，强化基层农业专业技术人才的培育能力。做好职业农民培训工作。在充分利用好国家各项培训政策的基础上，开展50万农民素质提升工程，重点做好专业合作社社长、种养大户、家庭农场以及农村年轻的专业能手和科技骨干的专业培训工作，为农业发展培育一批懂技术、会经营的农业人才队伍。</w:t>
      </w:r>
      <w:bookmarkStart w:id="341" w:name="_Toc16386"/>
    </w:p>
    <w:p w14:paraId="5C58792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二、健全农业农村投入机制</w:t>
      </w:r>
      <w:bookmarkEnd w:id="341"/>
    </w:p>
    <w:p w14:paraId="7903C2D1">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健全财政投入保障机制，完善政府投资体制，做好“整合”“撬动”两篇文章，充分激发社会投资的动力和活力，加快形成财政优先保障、社会积极参与的多元投入格局，汇聚更多“真金白银”，投入到乡村振兴各项事业中。</w:t>
      </w:r>
      <w:bookmarkStart w:id="342" w:name="_Toc528079712"/>
      <w:r>
        <w:rPr>
          <w:rFonts w:hint="eastAsia" w:ascii="仿宋_GB2312" w:hAnsi="仿宋_GB2312" w:eastAsia="仿宋_GB2312" w:cs="仿宋_GB2312"/>
          <w:color w:val="auto"/>
          <w:kern w:val="2"/>
          <w:sz w:val="32"/>
          <w:szCs w:val="32"/>
          <w:lang w:val="en-US" w:eastAsia="zh-CN" w:bidi="ar-SA"/>
        </w:rPr>
        <w:t>强化国家省市重大项目政策落实</w:t>
      </w:r>
      <w:bookmarkEnd w:id="342"/>
      <w:r>
        <w:rPr>
          <w:rFonts w:hint="eastAsia" w:ascii="仿宋_GB2312" w:hAnsi="仿宋_GB2312" w:eastAsia="仿宋_GB2312" w:cs="仿宋_GB2312"/>
          <w:color w:val="auto"/>
          <w:kern w:val="2"/>
          <w:sz w:val="32"/>
          <w:szCs w:val="32"/>
          <w:lang w:val="en-US" w:eastAsia="zh-CN" w:bidi="ar-SA"/>
        </w:rPr>
        <w:t>，充分发挥惠农政策和项目资金在乡村振兴中的引导和支撑作用。</w:t>
      </w:r>
      <w:bookmarkStart w:id="343" w:name="_Toc528079713"/>
      <w:r>
        <w:rPr>
          <w:rFonts w:hint="eastAsia" w:ascii="仿宋_GB2312" w:hAnsi="仿宋_GB2312" w:eastAsia="仿宋_GB2312" w:cs="仿宋_GB2312"/>
          <w:color w:val="auto"/>
          <w:kern w:val="2"/>
          <w:sz w:val="32"/>
          <w:szCs w:val="32"/>
          <w:lang w:val="en-US" w:eastAsia="zh-CN" w:bidi="ar-SA"/>
        </w:rPr>
        <w:t>建立健全财政投入优先保障制度</w:t>
      </w:r>
      <w:bookmarkEnd w:id="343"/>
      <w:r>
        <w:rPr>
          <w:rFonts w:hint="eastAsia" w:ascii="仿宋_GB2312" w:hAnsi="仿宋_GB2312" w:eastAsia="仿宋_GB2312" w:cs="仿宋_GB2312"/>
          <w:color w:val="auto"/>
          <w:kern w:val="2"/>
          <w:sz w:val="32"/>
          <w:szCs w:val="32"/>
          <w:lang w:val="en-US" w:eastAsia="zh-CN" w:bidi="ar-SA"/>
        </w:rPr>
        <w:t>。积极推动设立各类涉农产业基金以及政府专项债券等，加大对新型农业经营主体、乡村振兴公益性项目的支持力度。认真落实《跨省域补充耕地国家统筹管理办法》和《城乡建设用地增加挂钩节余指标跨省域调剂管理办法》，在土地出让收入、耕地占补平衡所得收益等使用上，加大对乡村振兴的倾斜与支持。健全完善涉农资金统筹整合长效机制，进一步理顺涉农资金管理体系，推进行业内资金整合和行业间资金统筹，切实提升支农政策效果和支农资金使用效益。强化支农资金监督管理，提高财政支农资金使用效益。优化乡村营商环境，发挥财政资金的引导效应、杠杆效应和放大效应，通过政府和社会资本合作、政府购买服务、贷款贴息、财政奖补、设立产业发展基金等有效方式，引导和撬动更多金融和社会资本投向乡村振兴。</w:t>
      </w:r>
      <w:bookmarkStart w:id="344" w:name="_Toc30603"/>
    </w:p>
    <w:p w14:paraId="7869EB94">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三、完善农业农村法规体系</w:t>
      </w:r>
      <w:bookmarkEnd w:id="344"/>
    </w:p>
    <w:p w14:paraId="398D8425">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加快完善我市农业法律法规体系，开展农村产权保护、农业市场规范运行、农业支持保护、农业资源环境保护等重点领域地方性法规修订工作。加强执法培训，强化基层执法队伍建设，推动农业执法重心和执法力量向县（市、区）下移。健全农业部门干部学法用法制度，增强农业干部法治观念和依法行政能力。推进简政放权，继续取消和下放农业行政审批事项。深入贯彻“六权治本”要求，以涉农补贴、重大项目、行政审批、行政处罚等为重点，全面推进政务公开，实行权力清单制度。全面实施“八五”普法规划，加快推进乡村人才振兴，广泛开展农村学法用法教育，大力培育农村学法用法示范户，落实好包括未成年人保护法等在内的涉农法律法规，引导农民增强尊法、守法、学法、用法意识，推动农村法治建设。</w:t>
      </w:r>
      <w:bookmarkStart w:id="345" w:name="_Toc17491"/>
      <w:r>
        <w:rPr>
          <w:rFonts w:hint="eastAsia" w:ascii="仿宋_GB2312" w:hAnsi="仿宋_GB2312" w:eastAsia="仿宋_GB2312" w:cs="仿宋_GB2312"/>
          <w:color w:val="auto"/>
          <w:kern w:val="2"/>
          <w:sz w:val="32"/>
          <w:szCs w:val="32"/>
          <w:lang w:val="en-US" w:eastAsia="zh-CN" w:bidi="ar-SA"/>
        </w:rPr>
        <w:t>到2025年底实现农村学法用法示范户覆盖到全市每个行政村。</w:t>
      </w:r>
    </w:p>
    <w:p w14:paraId="1FDF010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四、加强和推动区域协作</w:t>
      </w:r>
      <w:bookmarkEnd w:id="345"/>
    </w:p>
    <w:p w14:paraId="7D04FF49">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运城地处黄河金三角地区中心，与临汾、渭南、三门峡三市禀赋相似，农业产业相近，在现代农业发展上具有良好的合作基础和广阔的合作前景。要加快推进《晋陕豫黄河金三角区域合作规划》实施，在现代农业产业基地建设、农产品加工、技术服务体系和市场信息体系建设、体制机制创新等方面，建立和完善有效的区域协调发展管理体制和区域合作运行机制，实现资源共享、优势互补，形成发展合力，推进区域农业现代化发展进程。</w:t>
      </w:r>
      <w:bookmarkStart w:id="346" w:name="_Toc9086"/>
    </w:p>
    <w:p w14:paraId="2C94AF4C">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ascii="黑体" w:hAnsi="黑体" w:eastAsia="黑体" w:cs="方正黑体_GBK"/>
          <w:color w:val="auto"/>
          <w:sz w:val="32"/>
          <w:szCs w:val="32"/>
        </w:rPr>
      </w:pPr>
      <w:r>
        <w:rPr>
          <w:rFonts w:hint="eastAsia" w:ascii="黑体" w:hAnsi="黑体" w:eastAsia="黑体" w:cs="方正黑体_GBK"/>
          <w:color w:val="auto"/>
          <w:sz w:val="32"/>
          <w:szCs w:val="32"/>
        </w:rPr>
        <w:t>五、严格考核评价</w:t>
      </w:r>
      <w:bookmarkEnd w:id="346"/>
    </w:p>
    <w:p w14:paraId="371EDDFA">
      <w:pPr>
        <w:keepNext w:val="0"/>
        <w:keepLines w:val="0"/>
        <w:pageBreakBefore w:val="0"/>
        <w:widowControl w:val="0"/>
        <w:kinsoku/>
        <w:wordWrap/>
        <w:topLinePunct w:val="0"/>
        <w:autoSpaceDE/>
        <w:autoSpaceDN/>
        <w:bidi w:val="0"/>
        <w:spacing w:line="65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建立乡村振兴战略实施评价体系，加强规划实施的动态监测，按照正确政绩观要求，健全考核评价和奖惩机制。把乡村振兴战略规划实施成效纳入各级党委、政府及有关部门的年度绩效考评内容，制定考核办法，定期开展考核、检查、评价，将考核结果作为有关领导干部年度考核、选拔任用的重要依据，确保完成各项目标任务。本规划确定的约束性指标以及重大工程、重大项目、重大政策和重要改革任务，要明确责任主体和进度要求，确保质量和效果。对市直相关部门（单位）和各县（市、区）实施乡村振兴战略的进展情况，市政府每年组织开展一次督查，及时总结经验、发现问题、整改不足。建立规划实施评价机制，适时组织规划实施评估工作，需要对规划进行调整时，及时提出调整方案，及时完善工作举措。</w:t>
      </w:r>
    </w:p>
    <w:p w14:paraId="4ACEB3E1">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color w:val="auto"/>
        </w:rPr>
      </w:pPr>
      <w:r>
        <w:rPr>
          <w:color w:val="auto"/>
        </w:rPr>
        <w:br w:type="page"/>
      </w:r>
    </w:p>
    <w:p w14:paraId="7094B827">
      <w:pPr>
        <w:jc w:val="center"/>
        <w:rPr>
          <w:rFonts w:hint="eastAsia" w:ascii="方正小标宋简体" w:hAnsi="方正小标宋简体" w:eastAsia="方正小标宋简体" w:cs="方正小标宋简体"/>
          <w:i w:val="0"/>
          <w:iCs w:val="0"/>
          <w:color w:val="auto"/>
          <w:kern w:val="0"/>
          <w:sz w:val="32"/>
          <w:szCs w:val="32"/>
          <w:u w:val="none"/>
          <w:shd w:val="clear" w:color="auto" w:fill="auto"/>
          <w:lang w:val="en-US" w:eastAsia="zh-CN" w:bidi="ar"/>
        </w:rPr>
      </w:pPr>
      <w:r>
        <w:rPr>
          <w:rFonts w:hint="eastAsia" w:ascii="方正小标宋简体" w:hAnsi="方正小标宋简体" w:eastAsia="方正小标宋简体" w:cs="方正小标宋简体"/>
          <w:i w:val="0"/>
          <w:iCs w:val="0"/>
          <w:color w:val="auto"/>
          <w:kern w:val="0"/>
          <w:sz w:val="32"/>
          <w:szCs w:val="32"/>
          <w:u w:val="none"/>
          <w:shd w:val="clear" w:color="auto" w:fill="auto"/>
          <w:lang w:val="en-US" w:eastAsia="zh-CN" w:bidi="ar"/>
        </w:rPr>
        <w:t>运城市“十四五”农业农村重点项目一览表</w:t>
      </w:r>
    </w:p>
    <w:p w14:paraId="238323DD">
      <w:pPr>
        <w:jc w:val="center"/>
        <w:rPr>
          <w:rFonts w:hint="eastAsia" w:ascii="方正小标宋简体" w:hAnsi="方正小标宋简体" w:eastAsia="方正小标宋简体" w:cs="方正小标宋简体"/>
          <w:i w:val="0"/>
          <w:iCs w:val="0"/>
          <w:color w:val="auto"/>
          <w:kern w:val="0"/>
          <w:sz w:val="32"/>
          <w:szCs w:val="32"/>
          <w:u w:val="none"/>
          <w:shd w:val="clear" w:color="auto" w:fill="auto"/>
          <w:lang w:val="en-US" w:eastAsia="zh-CN" w:bidi="ar"/>
        </w:rPr>
      </w:pPr>
      <w:r>
        <w:rPr>
          <w:rFonts w:hint="eastAsia" w:ascii="宋体" w:hAnsi="宋体" w:cs="宋体"/>
          <w:i w:val="0"/>
          <w:iCs w:val="0"/>
          <w:color w:val="auto"/>
          <w:kern w:val="0"/>
          <w:sz w:val="24"/>
          <w:szCs w:val="24"/>
          <w:u w:val="none"/>
          <w:shd w:val="clear" w:color="auto" w:fill="auto"/>
          <w:lang w:val="en-US" w:eastAsia="zh-CN" w:bidi="ar"/>
        </w:rPr>
        <w:t xml:space="preserve">                                                               </w:t>
      </w:r>
      <w:r>
        <w:rPr>
          <w:rFonts w:hint="eastAsia" w:ascii="宋体" w:hAnsi="宋体" w:eastAsia="宋体" w:cs="宋体"/>
          <w:i w:val="0"/>
          <w:iCs w:val="0"/>
          <w:color w:val="auto"/>
          <w:kern w:val="0"/>
          <w:sz w:val="24"/>
          <w:szCs w:val="24"/>
          <w:u w:val="none"/>
          <w:shd w:val="clear" w:color="auto" w:fill="auto"/>
          <w:lang w:val="en-US" w:eastAsia="zh-CN" w:bidi="ar"/>
        </w:rPr>
        <w:t>单位：万元</w:t>
      </w:r>
    </w:p>
    <w:tbl>
      <w:tblPr>
        <w:tblStyle w:val="22"/>
        <w:tblW w:w="1034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7"/>
        <w:gridCol w:w="2593"/>
        <w:gridCol w:w="1650"/>
        <w:gridCol w:w="1221"/>
        <w:gridCol w:w="4178"/>
      </w:tblGrid>
      <w:tr w14:paraId="21726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8" w:hRule="atLeast"/>
          <w:tblHeader/>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41117">
            <w:pPr>
              <w:keepNext w:val="0"/>
              <w:keepLines w:val="0"/>
              <w:widowControl w:val="0"/>
              <w:suppressLineNumbers w:val="0"/>
              <w:spacing w:line="300" w:lineRule="exact"/>
              <w:jc w:val="center"/>
              <w:textAlignment w:val="center"/>
              <w:rPr>
                <w:rFonts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序号</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C15AB">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项目名称</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7EC06">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建设地点</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B8878">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总投资</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73DC6">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主要建设内容</w:t>
            </w:r>
          </w:p>
        </w:tc>
      </w:tr>
      <w:tr w14:paraId="0B15E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5E0B">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总计</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2161E">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173个</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39080">
            <w:pPr>
              <w:spacing w:line="300" w:lineRule="exact"/>
              <w:jc w:val="center"/>
              <w:rPr>
                <w:rFonts w:hint="eastAsia" w:ascii="黑体" w:hAnsi="宋体" w:eastAsia="黑体" w:cs="黑体"/>
                <w:i w:val="0"/>
                <w:iCs w:val="0"/>
                <w:color w:val="auto"/>
                <w:sz w:val="22"/>
                <w:szCs w:val="22"/>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81E7E">
            <w:pPr>
              <w:keepNext w:val="0"/>
              <w:keepLines w:val="0"/>
              <w:widowControl w:val="0"/>
              <w:suppressLineNumbers w:val="0"/>
              <w:spacing w:line="300" w:lineRule="exact"/>
              <w:jc w:val="center"/>
              <w:textAlignment w:val="center"/>
              <w:rPr>
                <w:rFonts w:hint="eastAsia" w:ascii="黑体" w:hAnsi="宋体" w:eastAsia="黑体" w:cs="黑体"/>
                <w:i w:val="0"/>
                <w:iCs w:val="0"/>
                <w:color w:val="auto"/>
                <w:sz w:val="22"/>
                <w:szCs w:val="22"/>
                <w:u w:val="none"/>
                <w:shd w:val="clear" w:color="auto" w:fill="auto"/>
              </w:rPr>
            </w:pPr>
            <w:r>
              <w:rPr>
                <w:rFonts w:hint="eastAsia" w:ascii="黑体" w:hAnsi="宋体" w:eastAsia="黑体" w:cs="黑体"/>
                <w:i w:val="0"/>
                <w:iCs w:val="0"/>
                <w:color w:val="auto"/>
                <w:kern w:val="0"/>
                <w:sz w:val="22"/>
                <w:szCs w:val="22"/>
                <w:u w:val="none"/>
                <w:shd w:val="clear" w:color="auto" w:fill="auto"/>
                <w:lang w:val="en-US" w:eastAsia="zh-CN" w:bidi="ar"/>
              </w:rPr>
              <w:t xml:space="preserve">1435183.2 </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01431">
            <w:pPr>
              <w:spacing w:line="300" w:lineRule="exact"/>
              <w:jc w:val="center"/>
              <w:rPr>
                <w:rFonts w:hint="eastAsia" w:ascii="黑体" w:hAnsi="宋体" w:eastAsia="黑体" w:cs="黑体"/>
                <w:i w:val="0"/>
                <w:iCs w:val="0"/>
                <w:color w:val="auto"/>
                <w:sz w:val="22"/>
                <w:szCs w:val="22"/>
                <w:u w:val="none"/>
                <w:shd w:val="clear" w:color="auto" w:fill="auto"/>
              </w:rPr>
            </w:pPr>
          </w:p>
        </w:tc>
      </w:tr>
      <w:tr w14:paraId="3EFAC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38EC1">
            <w:pPr>
              <w:keepNext w:val="0"/>
              <w:keepLines w:val="0"/>
              <w:widowControl w:val="0"/>
              <w:suppressLineNumbers w:val="0"/>
              <w:spacing w:line="300" w:lineRule="exact"/>
              <w:jc w:val="center"/>
              <w:textAlignment w:val="center"/>
              <w:rPr>
                <w:rFonts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一</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ED45A">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三大省级战略</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C375F">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BBECB">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 xml:space="preserve">111039.0 </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9D64C">
            <w:pPr>
              <w:spacing w:line="300" w:lineRule="exact"/>
              <w:jc w:val="left"/>
              <w:rPr>
                <w:rFonts w:hint="eastAsia" w:ascii="宋体" w:hAnsi="宋体" w:eastAsia="宋体" w:cs="宋体"/>
                <w:b/>
                <w:bCs/>
                <w:i w:val="0"/>
                <w:iCs w:val="0"/>
                <w:color w:val="auto"/>
                <w:sz w:val="21"/>
                <w:szCs w:val="21"/>
                <w:u w:val="none"/>
                <w:shd w:val="clear" w:color="auto" w:fill="auto"/>
              </w:rPr>
            </w:pPr>
          </w:p>
        </w:tc>
      </w:tr>
      <w:tr w14:paraId="2D528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BB85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71E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（临汾）果业出口平台大数据中心建设一期项目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AB80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运城市区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9DFB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11200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F67B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建设运城果业产业数据库、出口交易数据中心、果品数物链统一平台、数据中心工程等，建设10个物联网试点：5个数字果园试点、3个物联网加工试点、2个数字检验检疫试点。</w:t>
            </w:r>
          </w:p>
        </w:tc>
      </w:tr>
      <w:tr w14:paraId="297F2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A188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C6DC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运城市会展中心项目（运城省级果业出口平台）</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342F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0465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85416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CEE3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新建1栋主馆和2栋副馆，公用配套设施包括道路广场工程、绿化工程、硬化工程、电气工程、给排水工程及暖通工程等。</w:t>
            </w:r>
          </w:p>
        </w:tc>
      </w:tr>
      <w:tr w14:paraId="37E52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14B7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4F3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临猗县出口水果标准化生产示范园建设项目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0FAA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临猗县</w:t>
            </w:r>
            <w:r>
              <w:rPr>
                <w:rStyle w:val="23"/>
                <w:rFonts w:hAnsi="宋体"/>
                <w:color w:val="auto"/>
                <w:spacing w:val="-11"/>
                <w:kern w:val="0"/>
                <w:shd w:val="clear" w:color="auto" w:fill="auto"/>
                <w:lang w:val="en-US" w:eastAsia="zh-CN" w:bidi="ar"/>
              </w:rPr>
              <w:t>10个乡镇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0FF6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C511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10个出口水果</w:t>
            </w:r>
            <w:r>
              <w:rPr>
                <w:rFonts w:hint="eastAsia" w:ascii="仿宋_GB2312" w:hAnsi="宋体" w:eastAsia="仿宋_GB2312" w:cs="仿宋_GB2312"/>
                <w:i w:val="0"/>
                <w:iCs w:val="0"/>
                <w:color w:val="auto"/>
                <w:kern w:val="0"/>
                <w:sz w:val="21"/>
                <w:szCs w:val="21"/>
                <w:u w:val="none"/>
                <w:shd w:val="clear" w:color="auto" w:fill="auto"/>
                <w:lang w:val="en-US" w:eastAsia="zh-CN" w:bidi="ar"/>
              </w:rPr>
              <w:t>标准</w:t>
            </w:r>
            <w:r>
              <w:rPr>
                <w:rStyle w:val="44"/>
                <w:rFonts w:hAnsi="宋体"/>
                <w:color w:val="auto"/>
                <w:shd w:val="clear" w:color="auto" w:fill="auto"/>
                <w:lang w:val="en-US" w:eastAsia="zh-CN" w:bidi="ar"/>
              </w:rPr>
              <w:t>化生产示范基地，实施规模1000亩。</w:t>
            </w:r>
          </w:p>
        </w:tc>
      </w:tr>
      <w:tr w14:paraId="394EA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3BE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437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山西屹达食品有限公司水果智能化机械分选初加工生产示范线建设项目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C76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临猗县猗氏镇小杨村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E8A1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6747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3000平米车间，400平米鲜果周转冷库，建设1条水果智能化机械分选初加工生产线。</w:t>
            </w:r>
          </w:p>
        </w:tc>
      </w:tr>
      <w:tr w14:paraId="46577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A9D3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34C4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平陆县出口水果标准化生产示范基地建设项目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AA89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w:t>
            </w:r>
            <w:r>
              <w:rPr>
                <w:rStyle w:val="44"/>
                <w:rFonts w:hAnsi="宋体"/>
                <w:color w:val="auto"/>
                <w:shd w:val="clear" w:color="auto" w:fill="auto"/>
                <w:lang w:val="en-US" w:eastAsia="zh-CN" w:bidi="ar"/>
              </w:rPr>
              <w:t>8个乡镇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2DE9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5318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8个出口水果</w:t>
            </w:r>
            <w:r>
              <w:rPr>
                <w:rFonts w:hint="eastAsia" w:ascii="仿宋_GB2312" w:hAnsi="宋体" w:eastAsia="仿宋_GB2312" w:cs="仿宋_GB2312"/>
                <w:i w:val="0"/>
                <w:iCs w:val="0"/>
                <w:color w:val="auto"/>
                <w:kern w:val="0"/>
                <w:sz w:val="21"/>
                <w:szCs w:val="21"/>
                <w:u w:val="none"/>
                <w:shd w:val="clear" w:color="auto" w:fill="auto"/>
                <w:lang w:val="en-US" w:eastAsia="zh-CN" w:bidi="ar"/>
              </w:rPr>
              <w:t>标准</w:t>
            </w:r>
            <w:r>
              <w:rPr>
                <w:rStyle w:val="44"/>
                <w:rFonts w:hAnsi="宋体"/>
                <w:color w:val="auto"/>
                <w:shd w:val="clear" w:color="auto" w:fill="auto"/>
                <w:lang w:val="en-US" w:eastAsia="zh-CN" w:bidi="ar"/>
              </w:rPr>
              <w:t>化生产示范基地，实施规模2000亩。</w:t>
            </w:r>
          </w:p>
        </w:tc>
      </w:tr>
      <w:tr w14:paraId="3B5B7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4431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900B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平陆县欣兴果品种植专业合作社水果交易市场建设项目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5619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平陆县常乐镇后村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9BAA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1900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76E8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市</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场占地规划</w:t>
            </w:r>
            <w:r>
              <w:rPr>
                <w:rStyle w:val="44"/>
                <w:rFonts w:hAnsi="宋体"/>
                <w:color w:val="auto"/>
                <w:spacing w:val="-6"/>
                <w:shd w:val="clear" w:color="auto" w:fill="auto"/>
                <w:lang w:val="en-US" w:eastAsia="zh-CN" w:bidi="ar"/>
              </w:rPr>
              <w:t>100亩。主要包括建设水果恒温冷库、包装车间、交易大棚、餐饮物流区等。</w:t>
            </w:r>
          </w:p>
        </w:tc>
      </w:tr>
      <w:tr w14:paraId="187E2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3174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A3A5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平陆柳沟五古农业开发有限公司水果交易市场建设项目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0B49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平陆县杜马乡柳沟村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9602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EC2C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市场占地规划</w:t>
            </w:r>
            <w:r>
              <w:rPr>
                <w:rStyle w:val="44"/>
                <w:rFonts w:hAnsi="宋体"/>
                <w:color w:val="auto"/>
                <w:shd w:val="clear" w:color="auto" w:fill="auto"/>
                <w:lang w:val="en-US" w:eastAsia="zh-CN" w:bidi="ar"/>
              </w:rPr>
              <w:t>50亩。主要包括建设水果恒温冷库、包装车间、交易大棚、餐饮物流区等。</w:t>
            </w:r>
          </w:p>
        </w:tc>
      </w:tr>
      <w:tr w14:paraId="5D859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6FFA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0267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新绛县万</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安仙果品专业合作社果业出口平台建设项目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5980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新绛县万安镇万安村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8A01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366D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建设区域性水果交易中心建设，新建保鲜冷库一座专用储藏冷库</w:t>
            </w:r>
            <w:r>
              <w:rPr>
                <w:rStyle w:val="44"/>
                <w:rFonts w:hAnsi="宋体"/>
                <w:color w:val="auto"/>
                <w:shd w:val="clear" w:color="auto" w:fill="auto"/>
                <w:lang w:val="en-US" w:eastAsia="zh-CN" w:bidi="ar"/>
              </w:rPr>
              <w:t>3000平米，购置冷储设备，建设果品交易中心18000平米。</w:t>
            </w:r>
          </w:p>
        </w:tc>
      </w:tr>
      <w:tr w14:paraId="219F0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92C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D47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万荣县南果平台建设项目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CFB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万荣县14个乡镇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FCF1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3478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05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建设11个出口创汇标准化生产基地8630亩、建设5条水果初加工生产线、培育5家以上出口创汇企业</w:t>
            </w:r>
          </w:p>
        </w:tc>
      </w:tr>
      <w:tr w14:paraId="2C2EF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6"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E9CF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4432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山西宏祥果业股份有限公司果业出口平台建设</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650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8C6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3235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7227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新建冷库7260平方米，新建选果车间18700平方米，购买周转筐10万个和电动叉车6台</w:t>
            </w:r>
            <w:r>
              <w:rPr>
                <w:rFonts w:hint="eastAsia" w:ascii="仿宋_GB2312" w:hAnsi="宋体" w:eastAsia="仿宋_GB2312" w:cs="仿宋_GB2312"/>
                <w:i w:val="0"/>
                <w:iCs w:val="0"/>
                <w:color w:val="auto"/>
                <w:kern w:val="0"/>
                <w:sz w:val="21"/>
                <w:szCs w:val="21"/>
                <w:u w:val="none"/>
                <w:shd w:val="clear" w:color="auto" w:fill="auto"/>
                <w:lang w:val="en-US" w:eastAsia="zh-CN" w:bidi="ar"/>
              </w:rPr>
              <w:t>。</w:t>
            </w:r>
          </w:p>
        </w:tc>
      </w:tr>
      <w:tr w14:paraId="06C28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CED2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CC54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垣曲县出口水果标准化生产示范基地项目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5956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垣曲县蒲掌乡、长直乡等乡镇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FFA3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7D7A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果园间道路、果园节水灌溉设施和水肥一体化设施建设等。</w:t>
            </w:r>
          </w:p>
        </w:tc>
      </w:tr>
      <w:tr w14:paraId="01236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A80E9">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二</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45058">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农产品精深加工十大产业集群</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15D81">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7EB57">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249695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07688">
            <w:pPr>
              <w:spacing w:line="300" w:lineRule="exact"/>
              <w:jc w:val="left"/>
              <w:rPr>
                <w:rFonts w:hint="eastAsia" w:ascii="宋体" w:hAnsi="宋体" w:eastAsia="宋体" w:cs="宋体"/>
                <w:b/>
                <w:bCs/>
                <w:i w:val="0"/>
                <w:iCs w:val="0"/>
                <w:color w:val="auto"/>
                <w:sz w:val="21"/>
                <w:szCs w:val="21"/>
                <w:u w:val="none"/>
                <w:shd w:val="clear" w:color="auto" w:fill="auto"/>
              </w:rPr>
            </w:pPr>
          </w:p>
        </w:tc>
      </w:tr>
      <w:tr w14:paraId="62654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7E2C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C93A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稷山野生牡丹、柴胡、远志原生境保护区建设项目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B317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西社镇马家沟、稷王山长岭、下王尹南、上胡村北、小井沟四周</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8D4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4900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F175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隔离设施、警示设施、看护设施、防火排灌设施、温室、网室及必要的供电供水设施建设、购置数据采集分析设备、通讯巡逻设备、环境监测设备、标本陈列设备、资源监测与管护监控设备等。</w:t>
            </w:r>
          </w:p>
        </w:tc>
      </w:tr>
      <w:tr w14:paraId="7EB79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9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E568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5127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稷山县中药材综合加工项目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0746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稷山县高新技术园区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9CE0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1709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中药材原料库房，原料晾晒场，中药材加工车间，成品库，中药饮片生产线，胶囊生产线，片剂生产线，颗粒冲剂生产线，综合办公楼及其它配套设施。</w:t>
            </w:r>
          </w:p>
        </w:tc>
      </w:tr>
      <w:tr w14:paraId="5E29B0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5EDE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73EA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稷山县道地中药材基地建设项目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6881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稷山县太阳、三交等地</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A3F8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173F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道地中药材标准化种植区，道地中药材良种繁育区，中药材库房，原料晾晒场，道路及其它配套设施。</w:t>
            </w:r>
          </w:p>
        </w:tc>
      </w:tr>
      <w:tr w14:paraId="4B95A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B7F8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0EC7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稷山县种猪繁育基地建设项目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CB9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稷山县稷峰镇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管村村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815D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580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2F04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存栏300头的母猪猪舍、1000头标猪猪舍、年出栏猪仔5000头以上，标猪2000头。</w:t>
            </w:r>
          </w:p>
        </w:tc>
      </w:tr>
      <w:tr w14:paraId="5FCF28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91B3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08B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稷山县病死畜禽无害化收集处理场建设项目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B1FF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稷王示范园</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1A4D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266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处理车间及冷藏库：3000平方米。无害化处理设备：一套转运车辆：2台；环保设施：1套。</w:t>
            </w:r>
          </w:p>
        </w:tc>
      </w:tr>
      <w:tr w14:paraId="69621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6041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8A3F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晋龙集团畜禽屠宰加工建设项目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8FF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B820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075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畜禽屠宰车间、办公楼、储备车间等</w:t>
            </w:r>
          </w:p>
        </w:tc>
      </w:tr>
      <w:tr w14:paraId="1DCD7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78C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024D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山县益康奶牛养殖专业合作社清真屠宰厂建设项目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50EF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翟店镇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宝泉村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193F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B9F3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禽屠宰车间、办公楼、冷库、污水处理等</w:t>
            </w:r>
          </w:p>
        </w:tc>
      </w:tr>
      <w:tr w14:paraId="4DFA45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A135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95C1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临猗县天然苹果原浆伴餐醋生产建设项目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4760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北辛</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97F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17CD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用于建设标准化生产车间、压滤机组</w:t>
            </w:r>
          </w:p>
        </w:tc>
      </w:tr>
      <w:tr w14:paraId="5FE75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06C4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154B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山西新天地农业科技产业有限公司建设项目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EEE7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万荣县农副产品加工园</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6A32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253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建设苹果深加工生产车间、苹果分选车间、原料库、智能包装车间及研发中心，苹果深加工生产线、苹果智能化分选设备、包装设备等，配套基础设施建设。</w:t>
            </w:r>
          </w:p>
        </w:tc>
      </w:tr>
      <w:tr w14:paraId="00499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18AF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6F0F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临猗县晋南苹果优势特色产业集群项目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B004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耽子镇、七级镇、北辛乡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16C4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17900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8E7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建设果品交易大厅、果品电子商务中心、苹果科技实验综合楼等</w:t>
            </w:r>
          </w:p>
        </w:tc>
      </w:tr>
      <w:tr w14:paraId="7AB12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2DF4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5456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垣曲县3000吨小米食品加工项目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00A6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古城镇谭家村柏沟</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AC1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2037</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2CD7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厂房改造，碾米设备升级改造、米粉生产线、烘焙生产线等设备购置（16台套）、科研中心、晾晒场硬化、厂区道路建设等。</w:t>
            </w:r>
          </w:p>
        </w:tc>
      </w:tr>
      <w:tr w14:paraId="4BA0D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CAAF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7333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稷山县绿康仓储保鲜冷链设施建设项目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D5EA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蔡村乡</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上李村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05B9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1320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5908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制</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冷设备及库体建筑、变压器、叉车、托盘等</w:t>
            </w:r>
          </w:p>
        </w:tc>
      </w:tr>
      <w:tr w14:paraId="35534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EB6C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1CE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山西康泰农业科技开发有限公司</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071C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蔡村乡</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上李村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E630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C787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机房，速冻间，冷藏间，停车场及各种相应的制冷设备。</w:t>
            </w:r>
          </w:p>
        </w:tc>
      </w:tr>
      <w:tr w14:paraId="62E82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648A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1EA1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稷山县雪峰冷库仓储保鲜冷链设施建设项目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4F09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翟店镇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太郝村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042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1420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15BA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pacing w:val="-6"/>
                <w:kern w:val="0"/>
                <w:sz w:val="21"/>
                <w:szCs w:val="21"/>
                <w:u w:val="none"/>
                <w:shd w:val="clear" w:color="auto" w:fill="auto"/>
                <w:lang w:bidi="ar"/>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制冷设备及库体建筑、变压器、叉车、托盘等</w:t>
            </w:r>
          </w:p>
        </w:tc>
      </w:tr>
      <w:tr w14:paraId="0B3E0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946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59DB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山西省晋龙集团冷链物流设施建设项目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328E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化峪镇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吴嘱村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D02D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1209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pacing w:val="-6"/>
                <w:kern w:val="0"/>
                <w:sz w:val="21"/>
                <w:szCs w:val="21"/>
                <w:u w:val="none"/>
                <w:shd w:val="clear" w:color="auto" w:fill="auto"/>
                <w:lang w:bidi="ar"/>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冷冻库、冷藏库、恒温库、包材库、包装车间</w:t>
            </w:r>
          </w:p>
        </w:tc>
      </w:tr>
      <w:tr w14:paraId="73F57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805D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056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稷山县珍果园家庭农场冷链设施建设项目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628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翟店镇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东位村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C0C1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EE3C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建设库房、制冷机组及制冷设备</w:t>
            </w:r>
          </w:p>
        </w:tc>
      </w:tr>
      <w:tr w14:paraId="0FC86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6720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D61F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稷山县翟店镇冷冻库建设项目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8C4E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翟店镇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784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329B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设办公场所、冷冻库及信息采集等配套设施</w:t>
            </w:r>
          </w:p>
        </w:tc>
      </w:tr>
      <w:tr w14:paraId="5F23C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31AD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B4E6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万荣县农产品产地保鲜冷藏设施整县推进项目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3754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万荣县14个乡镇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F0C3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7FEF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支持30家以上合作社、家庭农场、村集体经济联合社建设农产品保鲜库及配套设施</w:t>
            </w:r>
          </w:p>
        </w:tc>
      </w:tr>
      <w:tr w14:paraId="4DA81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854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BAA7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临猗县苹果制（繁）种能力提升项目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A91E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北景乡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B1C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2826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D123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新建设施大棚、遮阳大棚、联动大棚、水肥一体化及配套设施，购置防草布、仪器设备等措施</w:t>
            </w:r>
          </w:p>
        </w:tc>
      </w:tr>
      <w:tr w14:paraId="256E2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D13D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B6C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闻喜县山楂果脯、冻干、饮料、冷链物流建设项目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3524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郭家庄镇七里坡村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3A20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9906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7E7F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建设生产车间12600㎡,办公楼2000㎡,附属用房200㎡,宿舍楼2000㎡等。消防水池2座，污水处理设备一套，冻干设备2套等。</w:t>
            </w:r>
          </w:p>
        </w:tc>
      </w:tr>
      <w:tr w14:paraId="2712F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E23D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465D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平陆县日处理</w:t>
            </w:r>
            <w:r>
              <w:rPr>
                <w:rStyle w:val="44"/>
                <w:rFonts w:hAnsi="宋体"/>
                <w:color w:val="auto"/>
                <w:shd w:val="clear" w:color="auto" w:fill="auto"/>
                <w:lang w:val="en-US" w:eastAsia="zh-CN" w:bidi="ar"/>
              </w:rPr>
              <w:t>400吨小麦面粉加工厂项目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E45D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张店镇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CB54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4B18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建设日处理小麦原粮400吨，生产等级面粉300吨的小麦加工厂。建设厂房、加工设施及配套设施。</w:t>
            </w:r>
          </w:p>
        </w:tc>
      </w:tr>
      <w:tr w14:paraId="62B75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A529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2908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山西华康药业股份有限公司年产</w:t>
            </w:r>
            <w:r>
              <w:rPr>
                <w:rStyle w:val="44"/>
                <w:rFonts w:hAnsi="宋体"/>
                <w:color w:val="auto"/>
                <w:shd w:val="clear" w:color="auto" w:fill="auto"/>
                <w:lang w:val="en-US" w:eastAsia="zh-CN" w:bidi="ar"/>
              </w:rPr>
              <w:t>4000吨中药材精深加工智能化升级改造工程</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F45B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3730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7892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对现有的净化工程进行改造，产能由年精选中药材2000吨提升为4000吨，并对配套的设备设施进行更新升级、以及相应的仓库扩建和改造。</w:t>
            </w:r>
          </w:p>
        </w:tc>
      </w:tr>
      <w:tr w14:paraId="1A7A5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6C04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3CD4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万荣县壮香源农业开发有限公司</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6A4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高村乡卓里村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2881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FAA9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新建菌棒生产净化车间</w:t>
            </w:r>
            <w:r>
              <w:rPr>
                <w:rStyle w:val="44"/>
                <w:rFonts w:hAnsi="宋体"/>
                <w:color w:val="auto"/>
                <w:shd w:val="clear" w:color="auto" w:fill="auto"/>
                <w:lang w:val="en-US" w:eastAsia="zh-CN" w:bidi="ar"/>
              </w:rPr>
              <w:t>1000平米，新建可控温养菌棚3万平方米，购置设备</w:t>
            </w:r>
          </w:p>
        </w:tc>
      </w:tr>
      <w:tr w14:paraId="50A74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22DD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BC47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稷山县阳润宝兴肉业有限公司+扩建年屠宰生猪</w:t>
            </w:r>
            <w:r>
              <w:rPr>
                <w:rStyle w:val="44"/>
                <w:rFonts w:hAnsi="宋体"/>
                <w:color w:val="auto"/>
                <w:shd w:val="clear" w:color="auto" w:fill="auto"/>
                <w:lang w:val="en-US" w:eastAsia="zh-CN" w:bidi="ar"/>
              </w:rPr>
              <w:t>30万头标准化车间项目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F895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化峪镇村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2872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55A4D">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扩建代宰圈、放血车间、烫毛车间、开膛车间、劈半车间、修整车间、分割加工车间、预冷车间、化验、检疫等设施；相关设施设备等，并配套环保设施。</w:t>
            </w:r>
          </w:p>
        </w:tc>
      </w:tr>
      <w:tr w14:paraId="0F9EC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DF95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D57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河津市和平农场有限公司道地中药产业集群项目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36196">
            <w:pPr>
              <w:keepNext w:val="0"/>
              <w:keepLines w:val="0"/>
              <w:widowControl w:val="0"/>
              <w:suppressLineNumbers w:val="0"/>
              <w:spacing w:line="300" w:lineRule="exact"/>
              <w:jc w:val="left"/>
              <w:textAlignment w:val="center"/>
              <w:rPr>
                <w:rFonts w:hint="eastAsia" w:ascii="宋体" w:hAnsi="宋体" w:eastAsia="宋体" w:cs="宋体"/>
                <w:i w:val="0"/>
                <w:iCs w:val="0"/>
                <w:color w:val="auto"/>
                <w:sz w:val="24"/>
                <w:szCs w:val="24"/>
                <w:u w:val="none"/>
                <w:shd w:val="clear" w:color="auto" w:fill="auto"/>
              </w:rPr>
            </w:pPr>
            <w:r>
              <w:rPr>
                <w:rFonts w:hint="eastAsia" w:ascii="宋体" w:hAnsi="宋体" w:eastAsia="宋体" w:cs="宋体"/>
                <w:i w:val="0"/>
                <w:iCs w:val="0"/>
                <w:color w:val="auto"/>
                <w:kern w:val="0"/>
                <w:sz w:val="24"/>
                <w:szCs w:val="24"/>
                <w:u w:val="none"/>
                <w:shd w:val="clear" w:color="auto" w:fill="auto"/>
                <w:lang w:val="en-US" w:eastAsia="zh-CN" w:bidi="ar"/>
              </w:rPr>
              <w:t>阳村乡连伯滩</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7174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C662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建设万亩道地中药材基地，建设年加工1万吨中药材加工厂一座，建设区域性中药材交易中心一个。</w:t>
            </w:r>
          </w:p>
        </w:tc>
      </w:tr>
      <w:tr w14:paraId="33311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3"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6810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AE70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年屠宰</w:t>
            </w:r>
            <w:r>
              <w:rPr>
                <w:rStyle w:val="44"/>
                <w:rFonts w:hAnsi="宋体"/>
                <w:color w:val="auto"/>
                <w:shd w:val="clear" w:color="auto" w:fill="auto"/>
                <w:lang w:val="en-US" w:eastAsia="zh-CN" w:bidi="ar"/>
              </w:rPr>
              <w:t>400万头生猪项目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5F56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东镇产业园区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59D6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54230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D4BF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198亩，规模为年屠宰400万头</w:t>
            </w:r>
          </w:p>
        </w:tc>
      </w:tr>
      <w:tr w14:paraId="167F9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8F97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3723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夏县千</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吨优质小麦生产基地储备建设及粮食加工项目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56BF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胡张乡其毋村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6AA3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D375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建设规模3000平方米粮食储存库，自动化粮食精选制粉加工设备，自动化粮食烘干设备，信息化粮食检测系统建设。</w:t>
            </w:r>
          </w:p>
        </w:tc>
      </w:tr>
      <w:tr w14:paraId="617D0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0E06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65BD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绛县大樱桃果酒生产项目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5C5D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安峪镇仓丰村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7EF1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2208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6869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生产车间</w:t>
            </w:r>
            <w:r>
              <w:rPr>
                <w:rStyle w:val="44"/>
                <w:rFonts w:hAnsi="宋体"/>
                <w:color w:val="auto"/>
                <w:shd w:val="clear" w:color="auto" w:fill="auto"/>
                <w:lang w:val="en-US" w:eastAsia="zh-CN" w:bidi="ar"/>
              </w:rPr>
              <w:t>6860平米，供配电、给排水、消防环保、化验检测等设施及分选、清洗、破碎、打浆、发酵、灭菌、灌装等</w:t>
            </w:r>
          </w:p>
        </w:tc>
      </w:tr>
      <w:tr w14:paraId="41612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D05F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B85F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绛县鹿茸保健茶合作研发项目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62A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绛县涑水大街西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768C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B8DD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建成符合国家GMP标准的、具有年生产鹿茸养元益寿茶</w:t>
            </w:r>
            <w:r>
              <w:rPr>
                <w:rStyle w:val="44"/>
                <w:rFonts w:hAnsi="宋体"/>
                <w:color w:val="auto"/>
                <w:shd w:val="clear" w:color="auto" w:fill="auto"/>
                <w:lang w:val="en-US" w:eastAsia="zh-CN" w:bidi="ar"/>
              </w:rPr>
              <w:t>1万公斤的生产线。</w:t>
            </w:r>
          </w:p>
        </w:tc>
      </w:tr>
      <w:tr w14:paraId="13F1B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1E89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038F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垣曲县燕鑫薯业有限责任公司年产</w:t>
            </w:r>
            <w:r>
              <w:rPr>
                <w:rStyle w:val="44"/>
                <w:rFonts w:hAnsi="宋体"/>
                <w:color w:val="auto"/>
                <w:shd w:val="clear" w:color="auto" w:fill="auto"/>
                <w:lang w:val="en-US" w:eastAsia="zh-CN" w:bidi="ar"/>
              </w:rPr>
              <w:t>5000吨方便粉丝扩建项目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28C0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新城镇上官村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DE11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E53A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新建生产车间及其他用房8500平方米；设备购置：新增粉丝生产线2条，购置化验设备16台（套）。</w:t>
            </w:r>
          </w:p>
        </w:tc>
      </w:tr>
      <w:tr w14:paraId="7D64C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E77A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5133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垣曲县润茂科牧养殖股份有限公司</w:t>
            </w:r>
            <w:r>
              <w:rPr>
                <w:rStyle w:val="44"/>
                <w:rFonts w:hAnsi="宋体"/>
                <w:color w:val="auto"/>
                <w:shd w:val="clear" w:color="auto" w:fill="auto"/>
                <w:lang w:val="en-US" w:eastAsia="zh-CN" w:bidi="ar"/>
              </w:rPr>
              <w:t>300万只肉鸡繁育养殖基地及年屠宰1000万只禽类加工新建项目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76DB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王茅镇东窑村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95F7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8192</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FE76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1座大型种鸡养殖场及孵化中心，引进铁腿青麻鸡、三黄肉鸡父母代种鸡1万只，建设种鸡舍5500㎡、孵化间240㎡、公用、辅助工程2050㎡，安装鸡笼768组、孵箱18台。</w:t>
            </w:r>
          </w:p>
        </w:tc>
      </w:tr>
      <w:tr w14:paraId="36A05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7FD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913E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垣曲县山西山里红食品有限公司年产</w:t>
            </w:r>
            <w:r>
              <w:rPr>
                <w:rStyle w:val="44"/>
                <w:rFonts w:hAnsi="宋体"/>
                <w:color w:val="auto"/>
                <w:shd w:val="clear" w:color="auto" w:fill="auto"/>
                <w:lang w:val="en-US" w:eastAsia="zh-CN" w:bidi="ar"/>
              </w:rPr>
              <w:t>5000吨新型果酱改建项目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6A12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新古城正大街山西山里红食品有限公司</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7FD8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2150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11F7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改造</w:t>
            </w:r>
            <w:r>
              <w:rPr>
                <w:rStyle w:val="44"/>
                <w:rFonts w:hAnsi="宋体"/>
                <w:color w:val="auto"/>
                <w:shd w:val="clear" w:color="auto" w:fill="auto"/>
                <w:lang w:val="en-US" w:eastAsia="zh-CN" w:bidi="ar"/>
              </w:rPr>
              <w:t>3000平米的果酱车间，新建一条果酱生产线。</w:t>
            </w:r>
          </w:p>
        </w:tc>
      </w:tr>
      <w:tr w14:paraId="500FD8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2094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9144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垣曲县山西舜聚康药茶产业发展有限公司“晋垣福”药茶开发项目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D846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历山镇望仙村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9161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3018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F195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新建精装车间1200㎡，配套车间冷库400㎡，原料库、包装产品库400㎡，办公区建设及其它配套设施3328㎡；新增现代化生产流水线设备7条；化验设备及研发费用等。</w:t>
            </w:r>
          </w:p>
        </w:tc>
      </w:tr>
      <w:tr w14:paraId="73326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62F7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336C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垣曲县舜兴干果产业发展有限公司年产</w:t>
            </w:r>
            <w:r>
              <w:rPr>
                <w:rStyle w:val="44"/>
                <w:rFonts w:hAnsi="宋体"/>
                <w:color w:val="auto"/>
                <w:shd w:val="clear" w:color="auto" w:fill="auto"/>
                <w:lang w:val="en-US" w:eastAsia="zh-CN" w:bidi="ar"/>
              </w:rPr>
              <w:t>1000吨无添加核桃油加工建设项目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85A6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垣曲县皋落街健康路</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525A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2715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AD0E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新建年产</w:t>
            </w:r>
            <w:r>
              <w:rPr>
                <w:rStyle w:val="44"/>
                <w:rFonts w:hAnsi="宋体"/>
                <w:color w:val="auto"/>
                <w:shd w:val="clear" w:color="auto" w:fill="auto"/>
                <w:lang w:val="en-US" w:eastAsia="zh-CN" w:bidi="ar"/>
              </w:rPr>
              <w:t>1000吨无添加核桃油生产线一条，以及配套厂房、冷库建设。</w:t>
            </w:r>
          </w:p>
        </w:tc>
      </w:tr>
      <w:tr w14:paraId="1AC9C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4812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450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芮城县年产</w:t>
            </w:r>
            <w:r>
              <w:rPr>
                <w:rStyle w:val="44"/>
                <w:rFonts w:hAnsi="宋体"/>
                <w:color w:val="auto"/>
                <w:shd w:val="clear" w:color="auto" w:fill="auto"/>
                <w:lang w:val="en-US" w:eastAsia="zh-CN" w:bidi="ar"/>
              </w:rPr>
              <w:t>8000吨速冻果蔬和500吨脱水果蔬深加工建设项目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4DBB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芮城县五一南路</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3991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636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年产</w:t>
            </w:r>
            <w:r>
              <w:rPr>
                <w:rStyle w:val="44"/>
                <w:rFonts w:hAnsi="宋体"/>
                <w:color w:val="auto"/>
                <w:shd w:val="clear" w:color="auto" w:fill="auto"/>
                <w:lang w:val="en-US" w:eastAsia="zh-CN" w:bidi="ar"/>
              </w:rPr>
              <w:t>8000吨速冻果蔬和500吨脱水果蔬深加工生产线和土建</w:t>
            </w:r>
          </w:p>
        </w:tc>
      </w:tr>
      <w:tr w14:paraId="2D251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7718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FC6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芮城花椒科技产业化建设项目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1277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芮城县风陵渡西王村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AB86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7850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600A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项目主要建设年产</w:t>
            </w:r>
            <w:r>
              <w:rPr>
                <w:rStyle w:val="44"/>
                <w:rFonts w:hAnsi="宋体"/>
                <w:color w:val="auto"/>
                <w:shd w:val="clear" w:color="auto" w:fill="auto"/>
                <w:lang w:val="en-US" w:eastAsia="zh-CN" w:bidi="ar"/>
              </w:rPr>
              <w:t>1千吨冷敷凝胶生产线、2千吨足浴粉、3千吨香辛料生产线及其配套设施。</w:t>
            </w:r>
          </w:p>
        </w:tc>
      </w:tr>
      <w:tr w14:paraId="54B08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CE5F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288C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山西弘芙华农业科技有限公司精深加工综合项目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B525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风陵渡开发区风后西街北侧中段</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C963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54C5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年产</w:t>
            </w:r>
            <w:r>
              <w:rPr>
                <w:rStyle w:val="44"/>
                <w:rFonts w:hAnsi="宋体"/>
                <w:color w:val="auto"/>
                <w:shd w:val="clear" w:color="auto" w:fill="auto"/>
                <w:lang w:val="en-US" w:eastAsia="zh-CN" w:bidi="ar"/>
              </w:rPr>
              <w:t>15000吨果粒果酱系列加工；占地45亩，建设面积13000平方米。主要建设内容为仓库、冷库、办公楼、宿舍餐厅、消防水池、泵房。</w:t>
            </w:r>
          </w:p>
        </w:tc>
      </w:tr>
      <w:tr w14:paraId="683E5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8FE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5A07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芮城县宇恒食品有限公司精深加工项目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7747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芮城县陌南镇坑南村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5CF0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E64F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r>
              <w:rPr>
                <w:rStyle w:val="44"/>
                <w:rFonts w:hAnsi="宋体"/>
                <w:color w:val="auto"/>
                <w:shd w:val="clear" w:color="auto" w:fill="auto"/>
                <w:lang w:val="en-US" w:eastAsia="zh-CN" w:bidi="ar"/>
              </w:rPr>
              <w:t>平方米车间建设，新建4个低温冷库，购买分选设备，膨化设备，速冻设备，包装设备等。</w:t>
            </w:r>
          </w:p>
        </w:tc>
      </w:tr>
      <w:tr w14:paraId="4D050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C7AF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160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华济药业草</w:t>
            </w:r>
            <w:r>
              <w:rPr>
                <w:rStyle w:val="23"/>
                <w:rFonts w:hAnsi="宋体"/>
                <w:color w:val="auto"/>
                <w:spacing w:val="-6"/>
                <w:kern w:val="0"/>
                <w:shd w:val="clear" w:color="auto" w:fill="auto"/>
                <w:lang w:val="en-US" w:eastAsia="zh-CN" w:bidi="ar"/>
              </w:rPr>
              <w:t>维康药茶系列产品研发、加工、营销</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991B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芮城县工业东街</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275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2300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38C9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草维康药茶系列产品品牌推广、品牌营销、产品研发、改造生产车间</w:t>
            </w:r>
            <w:r>
              <w:rPr>
                <w:rStyle w:val="44"/>
                <w:rFonts w:hAnsi="宋体"/>
                <w:color w:val="auto"/>
                <w:shd w:val="clear" w:color="auto" w:fill="auto"/>
                <w:lang w:val="en-US" w:eastAsia="zh-CN" w:bidi="ar"/>
              </w:rPr>
              <w:t>200余平方米、加工设备增加10余台/套。</w:t>
            </w:r>
          </w:p>
        </w:tc>
      </w:tr>
      <w:tr w14:paraId="37EC1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372B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B245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河津牧原农牧有限公司河津一场生猪养殖建设项目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67E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僧楼镇刘家堡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3D57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22683</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6467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建设年出栏20万头规模全线场。包括：怀孕舍36个，哺乳舍32个，保育育肥一体舍160个，后备舍8个等。</w:t>
            </w:r>
          </w:p>
        </w:tc>
      </w:tr>
      <w:tr w14:paraId="4C5FC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E90B1">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三</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FF5F3">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有机旱作农业科研和生产基地项目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1B022">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623D6">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10559</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06671">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7D71E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1"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43C3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8C0C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永济优势有机旱作农业小麦生产基地</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8F62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ABAD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1621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416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有机旱作小麦生产基地</w:t>
            </w:r>
            <w:r>
              <w:rPr>
                <w:rStyle w:val="44"/>
                <w:rFonts w:hAnsi="宋体"/>
                <w:color w:val="auto"/>
                <w:shd w:val="clear" w:color="auto" w:fill="auto"/>
                <w:lang w:val="en-US" w:eastAsia="zh-CN" w:bidi="ar"/>
              </w:rPr>
              <w:t>30078亩</w:t>
            </w:r>
          </w:p>
        </w:tc>
      </w:tr>
      <w:tr w14:paraId="7D5FC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2C66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0FCD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w:t>
            </w:r>
            <w:r>
              <w:rPr>
                <w:rStyle w:val="44"/>
                <w:rFonts w:hAnsi="宋体"/>
                <w:color w:val="auto"/>
                <w:shd w:val="clear" w:color="auto" w:fill="auto"/>
                <w:lang w:val="en-US" w:eastAsia="zh-CN" w:bidi="ar"/>
              </w:rPr>
              <w:t>先特色优势小麦有机旱作生产基地项目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8E93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9DAE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A55A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20000亩特色优势小麦有机旱作生产基地</w:t>
            </w:r>
          </w:p>
        </w:tc>
      </w:tr>
      <w:tr w14:paraId="56080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D49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C589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临猗县大嶷山果品种植专业合作社特色优势产业苹果有机旱作农业生产示范基地项目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6CD1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北辛乡张家坡、泥坡、赵村、北景乡闫家庄村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64A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C2B0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物化投入补助145万元；社会化服务补助274万元；标准化生产和“两品一标”认证、品牌创建、</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质量检测等补助10万元；信息化管理信息系统建设补助30万元；水肥一体化补助35万元；技术推广服务补助6万元。</w:t>
            </w:r>
          </w:p>
        </w:tc>
      </w:tr>
      <w:tr w14:paraId="1244C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AB60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6D0B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临猗县荣光果品种植专业合作社有机旱作葡萄生产基地建设项目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874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七级镇留尚村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E119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567</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893B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项目实施规模</w:t>
            </w:r>
            <w:r>
              <w:rPr>
                <w:rStyle w:val="44"/>
                <w:rFonts w:hAnsi="宋体"/>
                <w:color w:val="auto"/>
                <w:shd w:val="clear" w:color="auto" w:fill="auto"/>
                <w:lang w:val="en-US" w:eastAsia="zh-CN" w:bidi="ar"/>
              </w:rPr>
              <w:t>5530亩，其中七级镇留尚村1300亩；嵋阳镇西祁镇1100亩；七级镇牌首村1080亩：临晋镇张留村1050亩；东张镇芦底村1000亩。</w:t>
            </w:r>
          </w:p>
        </w:tc>
      </w:tr>
      <w:tr w14:paraId="0AD43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4"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3B9D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5B75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新绛县有机旱作农业小麦生产基地项目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6509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w:t>
            </w:r>
            <w:r>
              <w:rPr>
                <w:rStyle w:val="44"/>
                <w:rFonts w:hAnsi="宋体"/>
                <w:color w:val="auto"/>
                <w:shd w:val="clear" w:color="auto" w:fill="auto"/>
                <w:lang w:val="en-US" w:eastAsia="zh-CN" w:bidi="ar"/>
              </w:rPr>
              <w:t>6个乡镇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F303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571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E2C2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创建</w:t>
            </w:r>
            <w:r>
              <w:rPr>
                <w:rStyle w:val="44"/>
                <w:rFonts w:hAnsi="宋体"/>
                <w:color w:val="auto"/>
                <w:shd w:val="clear" w:color="auto" w:fill="auto"/>
                <w:lang w:val="en-US" w:eastAsia="zh-CN" w:bidi="ar"/>
              </w:rPr>
              <w:t>6个1000亩以上集中连片、总面积10000亩的有机旱作农业小麦生产基地。</w:t>
            </w:r>
          </w:p>
        </w:tc>
      </w:tr>
      <w:tr w14:paraId="0A646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BA01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06DB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特色优势有机旱作农业小麦生产基地建设项目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D3DF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桐城镇、郭家庄镇、河底镇、裴社乡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CDE9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47F0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10万亩优质小麦生产基地，核心示范区面积2.02万亩。</w:t>
            </w:r>
          </w:p>
        </w:tc>
      </w:tr>
      <w:tr w14:paraId="03DE7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7163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5E01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运城市垣曲县谷子小麦有机旱作农业生产基地项目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014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解峪乡、华峰乡等</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9ED3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7636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设谷子有机旱作农业生产基地5020亩，建设彩色小麦有机旱作农业生产基地6000亩等</w:t>
            </w:r>
          </w:p>
        </w:tc>
      </w:tr>
      <w:tr w14:paraId="7E550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B88F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58BC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万荣县有机旱作优质粮食生产项目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52D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荣河镇、光华乡、裴庄镇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647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219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实施节水灌溉1万亩，有机肥替代化肥1万亩，病虫害绿色防控技术集成2万亩，购置农机具50台（件），建设机具库5000平米，培育农业社会化服务组织15家。</w:t>
            </w:r>
          </w:p>
        </w:tc>
      </w:tr>
      <w:tr w14:paraId="7A7CC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037D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3DBE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河津市特色优势小麦有机旱作生产基地项目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D2B4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赵家街道办、阳村街道办、僧楼镇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DF8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969D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设30000亩特色优势小麦有机旱作生产基地</w:t>
            </w:r>
          </w:p>
        </w:tc>
      </w:tr>
      <w:tr w14:paraId="46E7B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107CF">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四</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97579">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设施农业建设项目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9FC60">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432CA">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118671.9</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5BE67">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1F1EF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C43B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0CF0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临猗县设施蔬菜发展项目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F348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w:t>
            </w:r>
            <w:r>
              <w:rPr>
                <w:rStyle w:val="44"/>
                <w:rFonts w:hAnsi="宋体"/>
                <w:color w:val="auto"/>
                <w:shd w:val="clear" w:color="auto" w:fill="auto"/>
                <w:lang w:val="en-US" w:eastAsia="zh-CN" w:bidi="ar"/>
              </w:rPr>
              <w:t>临猗县辛乡、七级镇、牛杜镇、嵋阳镇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FCB5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2400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84BC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在北辛乡建设节能温室</w:t>
            </w:r>
            <w:r>
              <w:rPr>
                <w:rStyle w:val="44"/>
                <w:rFonts w:hAnsi="宋体"/>
                <w:color w:val="auto"/>
                <w:shd w:val="clear" w:color="auto" w:fill="auto"/>
                <w:lang w:val="en-US" w:eastAsia="zh-CN" w:bidi="ar"/>
              </w:rPr>
              <w:t>50亩、钢架大棚100亩、改造温室50亩；在七级镇建设节能温室50亩、钢架大棚50亩；、在嵋阳镇建设全钢架大棚100亩；在牛杜镇新建节能温室20亩、蔬菜育苗场3000平方米。</w:t>
            </w:r>
          </w:p>
        </w:tc>
      </w:tr>
      <w:tr w14:paraId="1C34D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9FF0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C568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万荣县薛里香菇基地扩建项目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12FF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南张乡薛里村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701A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3975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建设香菇菌种研发中心，400个高标准香菇大棚，建设年产500万棒的集中制棒中心，配套水电路、保鲜库等基础设施。</w:t>
            </w:r>
          </w:p>
        </w:tc>
      </w:tr>
      <w:tr w14:paraId="3B81F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6BB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9FA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万荣县设施农业发展项目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A3E7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南张乡、通化镇、里望乡、皇甫乡、汉薛镇、解店镇等6个乡镇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774E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4100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7AB9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400个高标准香菇大棚，建设年产500万棒的集中制棒中心，配套水电路、保鲜库等基础设施；建设日光温室56座，配套水肥一体化，自动温控通风系统；配套管护房、农资库、保鲜库等</w:t>
            </w:r>
          </w:p>
        </w:tc>
      </w:tr>
      <w:tr w14:paraId="68553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6"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8CDC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4CC6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垣曲县设施农业（食用菌产业</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科技园</w:t>
            </w:r>
            <w:r>
              <w:rPr>
                <w:rFonts w:hint="eastAsia" w:ascii="仿宋_GB2312" w:hAnsi="宋体" w:eastAsia="仿宋_GB2312" w:cs="仿宋_GB2312"/>
                <w:i w:val="0"/>
                <w:iCs w:val="0"/>
                <w:color w:val="auto"/>
                <w:kern w:val="0"/>
                <w:sz w:val="21"/>
                <w:szCs w:val="21"/>
                <w:u w:val="none"/>
                <w:shd w:val="clear" w:color="auto" w:fill="auto"/>
                <w:lang w:val="en-US" w:eastAsia="zh-CN" w:bidi="ar"/>
              </w:rPr>
              <w:t>创建）项目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885F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皋落乡和长直乡亳清河沿线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AE0A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4600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5EC8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新建500亩香菇种植基地、年产1000万袋的菌棒自动化生产线、创建2000㎡的食用菌文化及品牌推介宣传中心等配套设施。</w:t>
            </w:r>
          </w:p>
        </w:tc>
      </w:tr>
      <w:tr w14:paraId="76C0D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583D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D21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临猗县青润</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农业开发有限公司新建高标准节能日光温室及全钢架大棚建设项目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D3FB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七级镇樊桥屯村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D9E1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598B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新建日光温室，占地</w:t>
            </w:r>
            <w:r>
              <w:rPr>
                <w:rStyle w:val="44"/>
                <w:rFonts w:hAnsi="宋体"/>
                <w:color w:val="auto"/>
                <w:shd w:val="clear" w:color="auto" w:fill="auto"/>
                <w:lang w:val="en-US" w:eastAsia="zh-CN" w:bidi="ar"/>
              </w:rPr>
              <w:t>200亩室内面积56亩；新建跨度8米全钢架大棚，室内面积20亩</w:t>
            </w:r>
          </w:p>
        </w:tc>
      </w:tr>
      <w:tr w14:paraId="5BC01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1285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E894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新绛县绿之康蔬菜产销农民专业合作社设施蔬菜基地建设项目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4652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三泉镇北熟汾</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9F29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084E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45栋，占地面积175亩，种植面积70亩。</w:t>
            </w:r>
          </w:p>
        </w:tc>
      </w:tr>
      <w:tr w14:paraId="08F3B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EF6A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6419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新绛县建风</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蔬种植专业合作社设施蔬菜基地建设项目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38EF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新绛县三泉镇南熟汾村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06C1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1660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A771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166栋，占地面积660亩，种植面积166亩。</w:t>
            </w:r>
          </w:p>
        </w:tc>
      </w:tr>
      <w:tr w14:paraId="6F7E4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FA8E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D1AC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新绛县婧振种植专业合作社设施蔬菜基地建设项目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8FCB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三泉镇乐利庄</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FB45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DE74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70栋，占地面积290亩，种植面积105亩。</w:t>
            </w:r>
          </w:p>
        </w:tc>
      </w:tr>
      <w:tr w14:paraId="7466C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DE2C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3D3C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新绛县丰炎果蔬种植专业合作社设施蔬菜基地建设项目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73A6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三泉镇席村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DC9D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1670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6C73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93栋，占地面积420亩，种植面积167亩。</w:t>
            </w:r>
          </w:p>
        </w:tc>
      </w:tr>
      <w:tr w14:paraId="19BF4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D62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4443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新绛县锦昊果蔬种植专业合作社设施蔬菜基地建设项目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8F9F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三泉镇三泉</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30FA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1530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B8AF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102栋，占地面积380亩，种植面积153亩。</w:t>
            </w:r>
          </w:p>
        </w:tc>
      </w:tr>
      <w:tr w14:paraId="63E80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A85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CAFC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新绛县耀鼎种植家庭农场设施蔬菜示范园建设项目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C0A2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新绛县北张镇北张村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9DA0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3492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46栋，占地面积280亩，种植面积110亩。</w:t>
            </w:r>
          </w:p>
        </w:tc>
      </w:tr>
      <w:tr w14:paraId="38B16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9A2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F60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新绛县绿油油蔬菜种植专业合作社设施蔬菜园区建设项目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6CC4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北张镇马首官庄村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1814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2E9F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20栋，占地面积130亩，种植面积50亩。</w:t>
            </w:r>
          </w:p>
        </w:tc>
      </w:tr>
      <w:tr w14:paraId="5ADE2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4EDF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8EF8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新绛县燕源蔬菜种植专业合作社设施蔬菜园区建设项目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AF4C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北张镇南燕村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FCBF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D721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22栋，占地面积150亩，种植面积60亩。</w:t>
            </w:r>
          </w:p>
        </w:tc>
      </w:tr>
      <w:tr w14:paraId="3631E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60D7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A5EC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新绛县绿宝蔬菜专业合作社设施蔬菜基地建设项目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91FF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泽掌镇赵仙新村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CAA3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1560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08CF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47栋，占地面积141亩，种植面积47亩：改造日光温室180栋，占地面积520亩，种植面积180亩。</w:t>
            </w:r>
          </w:p>
        </w:tc>
      </w:tr>
      <w:tr w14:paraId="62558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1D99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F45D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新绛县润源丰农业发展有限公司建设项目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96EB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泉掌镇东韩村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5497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5E6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16栋，占地面积120亩，种植面积55亩。</w:t>
            </w:r>
          </w:p>
        </w:tc>
      </w:tr>
      <w:tr w14:paraId="2A35F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97AE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1603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新绛县正发蔬菜专业合作社设施蔬菜基地建设项目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625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泉掌镇南张村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9742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2300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4E2F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新建日光温室</w:t>
            </w:r>
            <w:r>
              <w:rPr>
                <w:rStyle w:val="44"/>
                <w:rFonts w:hAnsi="宋体"/>
                <w:color w:val="auto"/>
                <w:shd w:val="clear" w:color="auto" w:fill="auto"/>
                <w:lang w:val="en-US" w:eastAsia="zh-CN" w:bidi="ar"/>
              </w:rPr>
              <w:t>115栋，占地面积620亩，种植面积230亩。</w:t>
            </w:r>
          </w:p>
        </w:tc>
      </w:tr>
      <w:tr w14:paraId="7C621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6"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4278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FC95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河津市田鑫种植专业合作社日光温室建设项目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D6FA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僧楼镇北王村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99FC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824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225BD">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新建98亩日光温室钢架、保温被、卷帘机、棚膜、墙体、加热（或降温）系统、小型园艺机械、水肥一体化设备。</w:t>
            </w:r>
          </w:p>
        </w:tc>
      </w:tr>
      <w:tr w14:paraId="597B1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D0B0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DB06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丰蕾种植专业合作社日光温室示范园建设项目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18EC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裴社乡裴社村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D944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630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260E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续建45个日光温室占地150亩，室内面积50亩，跨度8米。</w:t>
            </w:r>
          </w:p>
        </w:tc>
      </w:tr>
      <w:tr w14:paraId="7B4DC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3C3F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4DB4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闻喜县设施农业发展项目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2272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桐城镇、后宫乡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BC01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687.9</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1BEF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新建覆被式全钢架温室大棚</w:t>
            </w:r>
            <w:r>
              <w:rPr>
                <w:rStyle w:val="44"/>
                <w:rFonts w:hAnsi="宋体"/>
                <w:color w:val="auto"/>
                <w:shd w:val="clear" w:color="auto" w:fill="auto"/>
                <w:lang w:val="en-US" w:eastAsia="zh-CN" w:bidi="ar"/>
              </w:rPr>
              <w:t>40亩、全钢架大棚30亩，蔬菜育苗场3000平方米，升级改造蔬菜设施100亩。</w:t>
            </w:r>
          </w:p>
        </w:tc>
      </w:tr>
      <w:tr w14:paraId="0E88D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50B1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C314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垣曲县盛达农业开发有限公司木耳基地建设项目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FB98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pacing w:val="-6"/>
                <w:kern w:val="0"/>
                <w:sz w:val="21"/>
                <w:szCs w:val="21"/>
                <w:u w:val="none"/>
                <w:shd w:val="clear" w:color="auto" w:fill="auto"/>
                <w:lang w:bidi="ar"/>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新城镇左家湾村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9EDD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520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79C9D">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高标准钢架大棚30栋30亩的木耳吊袋种植基地，补助资金用于大棚钢架、棚膜、加热（或降温）系统等购置。</w:t>
            </w:r>
          </w:p>
        </w:tc>
      </w:tr>
      <w:tr w14:paraId="0AE28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FDCF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D3E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垣曲县刘镇铭种植专业合作社食用菌基地建设项目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37A5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长直乡前青村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2726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A145C">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新建食用菌种植基地钢架大棚</w:t>
            </w:r>
            <w:r>
              <w:rPr>
                <w:rStyle w:val="44"/>
                <w:rFonts w:hAnsi="宋体"/>
                <w:color w:val="auto"/>
                <w:shd w:val="clear" w:color="auto" w:fill="auto"/>
                <w:lang w:val="en-US" w:eastAsia="zh-CN" w:bidi="ar"/>
              </w:rPr>
              <w:t>60亩60栋，资金用于大棚钢架、棚膜、加热（或降温）系统等购置。</w:t>
            </w:r>
          </w:p>
        </w:tc>
      </w:tr>
      <w:tr w14:paraId="755A1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CC4D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0E06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芮城县自欣蔬菜专业合作社改造老旧日光温室</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030D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永乐镇岳村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8191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600</w:t>
            </w:r>
            <w:r>
              <w:rPr>
                <w:rStyle w:val="44"/>
                <w:rFonts w:hAnsi="宋体"/>
                <w:color w:val="auto"/>
                <w:shd w:val="clear" w:color="auto" w:fill="auto"/>
                <w:lang w:val="en-US" w:eastAsia="zh-CN" w:bidi="ar"/>
              </w:rPr>
              <w:t xml:space="preserve"> </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16FA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改造老旧日光温室，占地面积160亩，室内面积100亩，共80栋。</w:t>
            </w:r>
          </w:p>
        </w:tc>
      </w:tr>
      <w:tr w14:paraId="77584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712D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0B00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盐湖区瑞国水果专业种植合作社日光温室建设项目</w:t>
            </w:r>
          </w:p>
        </w:tc>
        <w:tc>
          <w:tcPr>
            <w:tcW w:w="1650" w:type="dxa"/>
            <w:tcBorders>
              <w:top w:val="single" w:color="000000" w:sz="4" w:space="0"/>
              <w:left w:val="single" w:color="000000" w:sz="4" w:space="0"/>
              <w:bottom w:val="nil"/>
              <w:right w:val="single" w:color="000000" w:sz="4" w:space="0"/>
            </w:tcBorders>
            <w:shd w:val="clear" w:color="auto" w:fill="auto"/>
            <w:vAlign w:val="center"/>
          </w:tcPr>
          <w:p w14:paraId="7A3D62C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金井乡南扶村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6EF9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588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5763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改扩建日光温室</w:t>
            </w:r>
            <w:r>
              <w:rPr>
                <w:rStyle w:val="44"/>
                <w:rFonts w:hAnsi="宋体"/>
                <w:color w:val="auto"/>
                <w:shd w:val="clear" w:color="auto" w:fill="auto"/>
                <w:lang w:val="en-US" w:eastAsia="zh-CN" w:bidi="ar"/>
              </w:rPr>
              <w:t>130亩</w:t>
            </w:r>
          </w:p>
        </w:tc>
      </w:tr>
      <w:tr w14:paraId="0885A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3DCF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6A89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闻喜县畜牧产业转型升级项目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6A5C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畖底镇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D21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2156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6B4C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建设2个规模养殖场，引进能繁母猪120头。</w:t>
            </w:r>
          </w:p>
        </w:tc>
      </w:tr>
      <w:tr w14:paraId="25C1D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39CD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26B5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闻喜县雁门关农牧交错带及平台建设项目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6018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礼元镇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2B48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531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3F9F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建设1个规模养殖场，引进能繁母牛100头。</w:t>
            </w:r>
          </w:p>
        </w:tc>
      </w:tr>
      <w:tr w14:paraId="0275F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A6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DD8B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闻喜县畜牧产业转型升级项目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646D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畖底镇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FDF2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2156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1D60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建设2个规模养殖场，引进能繁母猪120头；</w:t>
            </w:r>
          </w:p>
        </w:tc>
      </w:tr>
      <w:tr w14:paraId="3F007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E5A7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8229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闻喜县雁门关农牧交错带及平台建设项目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4631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闻喜县礼元镇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B447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531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DCB5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建设1个规模养殖场，引进能繁母牛100头。</w:t>
            </w:r>
          </w:p>
        </w:tc>
      </w:tr>
      <w:tr w14:paraId="0D99A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CD8B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8CEA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新绛县峻腾种植家庭农场设施油桃基地建设项目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225D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阳王镇苏阳村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B9F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680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6791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新建油桃跨度</w:t>
            </w:r>
            <w:r>
              <w:rPr>
                <w:rStyle w:val="44"/>
                <w:rFonts w:hAnsi="宋体"/>
                <w:color w:val="auto"/>
                <w:shd w:val="clear" w:color="auto" w:fill="auto"/>
                <w:lang w:val="en-US" w:eastAsia="zh-CN" w:bidi="ar"/>
              </w:rPr>
              <w:t>13米全钢架大棚，占地150亩，种植面积130亩。</w:t>
            </w:r>
          </w:p>
        </w:tc>
      </w:tr>
      <w:tr w14:paraId="66F64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AE5F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A01F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稷山县纯晶樱桃种植专业合作社+设施樱桃大棚建设项目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A91A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蔡村乡蔡村村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234F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2345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建设跨度10米以上的覆被式全钢架大棚100亩，购置小型园艺机械、水肥一体化设备等。</w:t>
            </w:r>
          </w:p>
        </w:tc>
      </w:tr>
      <w:tr w14:paraId="273BD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BD12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98B5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稷山县讯特农业种植专业合作社+设施桃树大棚建设项目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BB07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蔡</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村乡段家堡村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E378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0C37D">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建设跨度10米以上的覆被式全钢架大棚100亩，购置小型园艺机械、水肥一体化设备等。</w:t>
            </w:r>
          </w:p>
        </w:tc>
      </w:tr>
      <w:tr w14:paraId="1E85A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535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D7D8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稷山县稷野香种植专业合作社+设施桃树大棚建设项目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97AA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蔡村乡大李村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531F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0AC6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建设跨度10米以上的覆被式全钢架大棚100亩，购置小型园艺机械、水肥一体化设备等。</w:t>
            </w:r>
          </w:p>
        </w:tc>
      </w:tr>
      <w:tr w14:paraId="78B53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30FF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940C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稷山县山西丰民农业开发有限公司葡萄避雨棚及冷棚建设项目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2279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pacing w:val="-6"/>
                <w:kern w:val="0"/>
                <w:sz w:val="21"/>
                <w:szCs w:val="21"/>
                <w:u w:val="none"/>
                <w:shd w:val="clear" w:color="auto" w:fill="auto"/>
                <w:lang w:bidi="ar"/>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清河镇马家庄村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96C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980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F6A9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建设200亩避雨棚葡萄、建设100亩全钢架冷棚葡萄，购置小型园艺机械、水肥一体化设备等。</w:t>
            </w:r>
          </w:p>
        </w:tc>
      </w:tr>
      <w:tr w14:paraId="4D9F4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1753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7501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稷山县爱民桃树种植专业合作社+桃树设施大棚建设项目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FCA8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清河镇荆庄村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A07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940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9764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建设200亩跨度10米以上的覆被式全钢架大棚，购置小型园艺机械、水肥一体化设备等设备。</w:t>
            </w:r>
          </w:p>
        </w:tc>
      </w:tr>
      <w:tr w14:paraId="27B4F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2FB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9B88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绛县设施樱桃建设项目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23E4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南樊镇、安峪镇、横水镇、古绛镇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C739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39000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A965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安峪镇东三涧村大棚</w:t>
            </w:r>
            <w:r>
              <w:rPr>
                <w:rStyle w:val="44"/>
                <w:rFonts w:hAnsi="宋体"/>
                <w:color w:val="auto"/>
                <w:shd w:val="clear" w:color="auto" w:fill="auto"/>
                <w:lang w:val="en-US" w:eastAsia="zh-CN" w:bidi="ar"/>
              </w:rPr>
              <w:t>700亩、温室300亩。安峪镇下柏村 1000亩大棚， 南樊镇史村 大棚700亩 温室200亩，横水西灌底村 温室 300亩，古绛镇西吴村大棚 300亩 。</w:t>
            </w:r>
          </w:p>
        </w:tc>
      </w:tr>
      <w:tr w14:paraId="00F58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77A1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9A0D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稷山县万亩设施蔬菜生产基地建设项目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3208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稷峰镇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F901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25D5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种苗培育区、特色蔬菜种植区，栽培示范区，蔬菜冷链物流配送中心，给排水系统，基地道路，办公设施及其他辅助设施。</w:t>
            </w:r>
          </w:p>
        </w:tc>
      </w:tr>
      <w:tr w14:paraId="598326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678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289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垣曲县娟娟种植专业合作社省级设施蔬菜标准化示范园建设项目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C13E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皋落乡皋落村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A420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A06A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95栋100余亩高标准菌棚智能化设施设备、生产技术规程印发、生产档案印制、产品包装和冷链物流基础设施等。</w:t>
            </w:r>
          </w:p>
        </w:tc>
      </w:tr>
      <w:tr w14:paraId="714D57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7C6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612A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垣曲县惠群种植专业合作社蔬菜基地建设项目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13DE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新城镇瓦舍村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DA2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FB6D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新建节能日光温室面积45亩的蔬菜基地，补助资金用于骨架、棚膜、保温被、水肥一体化等设施设备。</w:t>
            </w:r>
          </w:p>
        </w:tc>
      </w:tr>
      <w:tr w14:paraId="3B59A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ACDA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D377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垣曲县鼎诺种养专业合作社日光温室升级改造项目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DC4D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皋落乡皋落村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A417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854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F7E3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改造64栋140亩日光温室的钢架、保温被、卷帘机、棚膜、水肥一体化设备等。</w:t>
            </w:r>
          </w:p>
        </w:tc>
      </w:tr>
      <w:tr w14:paraId="147A3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56E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7CDE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河津市三农富民生态开发有限公司350亩钢架温室大棚建设项目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0100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阳村街道办连伯村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2F00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3150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86F8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拟建230栋钢架温室大棚（350亩）</w:t>
            </w:r>
          </w:p>
        </w:tc>
      </w:tr>
      <w:tr w14:paraId="1BECE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477E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A250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临猗县石榴现代农业产业园项目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528F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临晋镇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2F5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77AD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建设10亩石榴盆景加工展示棚、八公里石榴循环圈、10亩软籽石榴设施生产大棚和石榴原汁加工车间等</w:t>
            </w:r>
          </w:p>
        </w:tc>
      </w:tr>
      <w:tr w14:paraId="5345D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49BF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7E52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河津市三农富民生态开发有限公司连伯韭菜富硒项目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79CE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阳村街道办连伯村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A098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ECD9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喷施6000亩富硒韭菜</w:t>
            </w:r>
          </w:p>
        </w:tc>
      </w:tr>
      <w:tr w14:paraId="7F12A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9EC82">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五</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8CA92">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农业农村“六新”项目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D863A">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D616F">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308560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F6113">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7CEF0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9790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2F73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夏县供港蔬菜基地建设项目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49DC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禹王镇、尉郭乡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380F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AA40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建设办公楼、交易市场、冷链物流、分拣中心、中央厨房、净菜中心、大数据中心、展示中心，新建蔬菜基地4000亩。</w:t>
            </w:r>
          </w:p>
        </w:tc>
      </w:tr>
      <w:tr w14:paraId="529FB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BB66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B99A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夏鲜蔬菜产业园建设项目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056C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夏县南大里乡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6043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CFF1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电子商务、培训中心</w:t>
            </w:r>
          </w:p>
        </w:tc>
      </w:tr>
      <w:tr w14:paraId="14E6D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91A1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486D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山西道一生物科技有限公司：盐酸盐氨基葡萄糖生产线项目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9545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盐湖工业园</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10EE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2010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建设年产</w:t>
            </w:r>
            <w:r>
              <w:rPr>
                <w:rStyle w:val="44"/>
                <w:rFonts w:hAnsi="宋体"/>
                <w:color w:val="auto"/>
                <w:shd w:val="clear" w:color="auto" w:fill="auto"/>
                <w:lang w:val="en-US" w:eastAsia="zh-CN" w:bidi="ar"/>
              </w:rPr>
              <w:t>3000吨盐酸盐氨基葡萄糖生产线，购置发酵系统、浓缩系统、过滤系统，粗晶反应</w:t>
            </w:r>
            <w:r>
              <w:rPr>
                <w:rStyle w:val="23"/>
                <w:rFonts w:hAnsi="宋体"/>
                <w:color w:val="auto"/>
                <w:spacing w:val="-6"/>
                <w:kern w:val="0"/>
                <w:shd w:val="clear" w:color="auto" w:fill="auto"/>
                <w:lang w:val="en-US" w:eastAsia="zh-CN" w:bidi="ar"/>
              </w:rPr>
              <w:t>系统、结晶反应系统等设备。改扩建项目发酵车间、净化车间、以及辅助设施等工程。</w:t>
            </w:r>
          </w:p>
        </w:tc>
      </w:tr>
      <w:tr w14:paraId="6D587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2F8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9EA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运城新联盟物流有限公司：新建冷链综合商品智慧电商集散物流港项目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B429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盐湖区文化产业园区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31C7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12488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9215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新建冷链综合商品智慧电商集散物流港，建设仓库</w:t>
            </w:r>
            <w:r>
              <w:rPr>
                <w:rStyle w:val="44"/>
                <w:rFonts w:hAnsi="宋体"/>
                <w:color w:val="auto"/>
                <w:shd w:val="clear" w:color="auto" w:fill="auto"/>
                <w:lang w:val="en-US" w:eastAsia="zh-CN" w:bidi="ar"/>
              </w:rPr>
              <w:t>3座，综合办公楼1座，配套建设门房、计量、供水、供电、采暖、地面硬化、绿化、消防等。</w:t>
            </w:r>
          </w:p>
        </w:tc>
      </w:tr>
      <w:tr w14:paraId="22FD0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00BF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497B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永济市超人奶业奶牛智能健康养殖项目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1EE6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城北街道东信昌村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017D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1670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E03F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建设滑动顶棚牛舍2栋18900</w:t>
            </w:r>
            <w:r>
              <w:rPr>
                <w:rStyle w:val="45"/>
                <w:color w:val="auto"/>
                <w:shd w:val="clear" w:color="auto" w:fill="auto"/>
                <w:lang w:val="en-US" w:eastAsia="zh-CN" w:bidi="ar"/>
              </w:rPr>
              <w:t>㎡</w:t>
            </w:r>
            <w:r>
              <w:rPr>
                <w:rStyle w:val="44"/>
                <w:rFonts w:hAnsi="宋体"/>
                <w:color w:val="auto"/>
                <w:shd w:val="clear" w:color="auto" w:fill="auto"/>
                <w:lang w:val="en-US" w:eastAsia="zh-CN" w:bidi="ar"/>
              </w:rPr>
              <w:t>；购买奶牛专用风扇150台；购买智能恒温水槽80个；自动清粪系统4套。</w:t>
            </w:r>
          </w:p>
        </w:tc>
      </w:tr>
      <w:tr w14:paraId="34692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F13E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AB9C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永济市河东葫芦园农文旅融合研学提档升级配套建设项目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28C6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城西街道太宁村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F8A3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EE2F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建标准化研学民宿10000平米、特色葫芦宴大地餐饮1000平米、特色葫芦康养管理服务中心5000平方米；扩建运城特色农产品大卖场5000平方米；扩建博物馆2000平米、非遗展示科普教育中心2000平方米。</w:t>
            </w:r>
          </w:p>
        </w:tc>
      </w:tr>
      <w:tr w14:paraId="56409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3CB8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BF32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山西德威本草生物科技有限公司+植物源农药“苦参碱香芹酚可溶液剂”项目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168B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嵋阳东郊</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001C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CDD5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建设生产1000吨植物源农药母药生产线及配套设施。建设年产1000吨苦参·香芹酚可溶液剂生产线及新产品审批。</w:t>
            </w:r>
          </w:p>
        </w:tc>
      </w:tr>
      <w:tr w14:paraId="48594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6EE1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4857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山西三科农产品市场有限公司+临猗三科农商城</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FF58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临猗县农业产业示范区物流园</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61B8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831B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建设冷链仓储、物流配送、检验检测、电子结算、科研繁育、农旅体验、商务配套等众多功能为一体的综合性农商城。农产品批发市场用地及商服用地1000亩，建筑面积约70万平方米。</w:t>
            </w:r>
          </w:p>
        </w:tc>
      </w:tr>
      <w:tr w14:paraId="278E3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A7CA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0A6A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山西优百味食品有限公司年产</w:t>
            </w:r>
            <w:r>
              <w:rPr>
                <w:rStyle w:val="23"/>
                <w:rFonts w:hint="eastAsia" w:ascii="仿宋_GB2312" w:hAnsi="宋体" w:eastAsia="仿宋_GB2312" w:cs="仿宋_GB2312"/>
                <w:color w:val="auto"/>
                <w:spacing w:val="-6"/>
                <w:kern w:val="0"/>
                <w:u w:val="none"/>
                <w:shd w:val="clear" w:color="auto" w:fill="auto"/>
                <w:lang w:val="en-US" w:eastAsia="zh-CN" w:bidi="ar"/>
              </w:rPr>
              <w:t>3000吨富硒杂粮代餐粉</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5A77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临猗县城西郊商业园区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56C1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1611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全自动烘焙生产线</w:t>
            </w:r>
            <w:r>
              <w:rPr>
                <w:rStyle w:val="44"/>
                <w:rFonts w:hAnsi="宋体"/>
                <w:color w:val="auto"/>
                <w:shd w:val="clear" w:color="auto" w:fill="auto"/>
                <w:lang w:val="en-US" w:eastAsia="zh-CN" w:bidi="ar"/>
              </w:rPr>
              <w:t>2条，包装机5台，石磨机组2套，新建生产车间1500平方米，新增500KVA变台一座等。</w:t>
            </w:r>
          </w:p>
        </w:tc>
      </w:tr>
      <w:tr w14:paraId="5BCE4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25AD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9595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山西好普生葡萄产业农业生产托管模式项目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04BF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七级镇留尚村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BCC1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6CCF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智慧农业及农机具设备，果品交易中心、电子商务中心等，搭建避雨棚、生产资料投入、修剪托管等。</w:t>
            </w:r>
          </w:p>
        </w:tc>
      </w:tr>
      <w:tr w14:paraId="1F993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8334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6B4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万荣县农业生产托管创新试点项目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CEF4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万荣县14个乡镇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E07F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DE91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探索“村党支部+合作社+社会化服务组织”托管模式。在全县进行香菇2000万棒，苹果、桃等经济作物托管试点面积5万亩，粮食作物托管面积35万亩</w:t>
            </w:r>
          </w:p>
        </w:tc>
      </w:tr>
      <w:tr w14:paraId="15CD1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4EFA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B51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临猗县农业生产托管项目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8F43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临猗县全县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E781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211F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支持农业生产托管面积5万亩。</w:t>
            </w:r>
          </w:p>
        </w:tc>
      </w:tr>
      <w:tr w14:paraId="2D654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BE3B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B34E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临猗县万保出口苹果创意农业产业园建设项目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C061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北辛乡卓逸村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760F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2720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43E1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建设观光长廊，苹果创意产品会展中心，苹果形态加工车间，苹果创意仓库，苹果创意设计室，苹果管理技术共享传输中心，苹果管理技术共享大讲堂等。</w:t>
            </w:r>
          </w:p>
        </w:tc>
      </w:tr>
      <w:tr w14:paraId="6ACB0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D9F1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47D0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微生物复合细菌菌剂技术研发与推广</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D1E0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裴社乡大泽村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0DA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238E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建设发酵车间1个，发酵罐4个；繁育车间1个；高倍显微镜(100万倍)1台；无人喷洒机8台；试验大棚8个；无菌车间1个。</w:t>
            </w:r>
          </w:p>
        </w:tc>
      </w:tr>
      <w:tr w14:paraId="69F36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3A8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1EF2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绛县蛋白桑、大叶蛋白菊种养加综合示范项目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E7B6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古绛镇下高池村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F7FE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2586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8DB7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蛋白桑、大叶蛋白菊种苗繁育、种植基地2000亩，林下养殖九黑乌鸡60000羽，配套屠宰场1个，九黑乌鸡孵化场一个，饲料加工生产线2条，冷库1个。</w:t>
            </w:r>
          </w:p>
        </w:tc>
      </w:tr>
      <w:tr w14:paraId="5CF8C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2AB0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2FD6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山西康园</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泰农业科技有限公司大樱桃生态专用肥项目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6240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大交镇大交村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AEAB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3646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8FDF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预处理、发酵、机修、仓库等生产车间建筑面积</w:t>
            </w:r>
            <w:r>
              <w:rPr>
                <w:rStyle w:val="44"/>
                <w:rFonts w:hAnsi="宋体"/>
                <w:color w:val="auto"/>
                <w:shd w:val="clear" w:color="auto" w:fill="auto"/>
                <w:lang w:val="en-US" w:eastAsia="zh-CN" w:bidi="ar"/>
              </w:rPr>
              <w:t>24821平米，辅助设施1008平米，设备购置安装等</w:t>
            </w:r>
          </w:p>
        </w:tc>
      </w:tr>
      <w:tr w14:paraId="08603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122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3116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运城地福来生物科技发展有限公司微藻细胞玉米专用肥研发中心项目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F69A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古绛镇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6126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0BB4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扩建</w:t>
            </w:r>
            <w:r>
              <w:rPr>
                <w:rStyle w:val="44"/>
                <w:rFonts w:hAnsi="宋体"/>
                <w:color w:val="auto"/>
                <w:shd w:val="clear" w:color="auto" w:fill="auto"/>
                <w:lang w:val="en-US" w:eastAsia="zh-CN" w:bidi="ar"/>
              </w:rPr>
              <w:t>200平方米实验室，建设蛋白质纯化设备，玉米专用藻类细胞分析室，玉米专用藻种库，微藻反应室，灌装车间，引入空气处理设备和水处理设备。</w:t>
            </w:r>
          </w:p>
        </w:tc>
      </w:tr>
      <w:tr w14:paraId="17681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737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0D19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曲县粮食万庄园建设项目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B5F3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新城镇古堆村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5C0A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16E6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建设“五园”（百草园、百花园、百树园、百蔬园、百勤园）450亩；“五坊”（石磨坊、豆腐坊、粉条坊、醋坊、酱菜坊）15亩；学生农耕体验园30亩。</w:t>
            </w:r>
          </w:p>
        </w:tc>
      </w:tr>
      <w:tr w14:paraId="0F499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407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91FB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垣曲县农业会展中心建设项目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C92E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新城镇古堆村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BA79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AA72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建设“五馆”:垣曲农业布局展馆、农耕文化展馆、粮食万勤俭展馆、垣曲民俗展馆、农业科普馆。</w:t>
            </w:r>
          </w:p>
        </w:tc>
      </w:tr>
      <w:tr w14:paraId="70F22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12D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2663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垣曲县休闲观光田园综合体建设项目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6836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新城镇下寺村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039B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39F5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建设采摘园200亩、香菇蔬菜种植大棚80亩、干果经济林区80亩，配套完善辅助建设。</w:t>
            </w:r>
          </w:p>
        </w:tc>
      </w:tr>
      <w:tr w14:paraId="07062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204C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CE76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垣曲县休闲康养田园综合体建设项目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C9F3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新城镇坡底村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C416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88B0D">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建设采摘园150亩、冷棚20亩、休闲养老苑150亩，德孝文化广场、农家生活体验园、生态树种风景园等。</w:t>
            </w:r>
          </w:p>
        </w:tc>
      </w:tr>
      <w:tr w14:paraId="6E633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2EF0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E6EA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垣曲县润茂科技有机肥有限公司粪污资源化利用集中处理项目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ADF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王茅镇东窑村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E2A5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56FD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建设发酵车间、有机肥生产车间、原材料车间、成品车间等；购置智能环形发酵槽设备2套、年产5000吨粉状有机肥生产线一套、年产5000吨颗粒有机肥生产线一套以及相关检测仪器等。</w:t>
            </w:r>
          </w:p>
        </w:tc>
      </w:tr>
      <w:tr w14:paraId="4F7B8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4D0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D92B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闻喜县畜禽养殖加工产业一体化建设项目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896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畖底镇栗村、胡城村，礼元镇东赵村、椿木角村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799B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2B091">
            <w:pPr>
              <w:keepNext w:val="0"/>
              <w:keepLines w:val="0"/>
              <w:widowControl w:val="0"/>
              <w:suppressLineNumbers w:val="0"/>
              <w:spacing w:line="300" w:lineRule="exact"/>
              <w:jc w:val="both"/>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年出栏720万只肉鸡养殖基地建设项目；年存栏6000头种猪场建设项目；年孵化8000万羽肉鸡苗扩建项目；存栏8万套种鸡养殖场建设项目。</w:t>
            </w:r>
          </w:p>
        </w:tc>
      </w:tr>
      <w:tr w14:paraId="01588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5830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03C4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平陆田园综合体观光旅游项目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FE25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圣人涧镇太宽村、红旗二库</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FAD0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F485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生态农业开发260亩；生态果林花卉开发共500亩；生态养殖开发460亩；休闲旅游服务及辅助工程建设；综合服务项目建设；影视基地打造。</w:t>
            </w:r>
          </w:p>
        </w:tc>
      </w:tr>
      <w:tr w14:paraId="319F1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5FEB0">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六</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0057D">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农业基础设施提升项目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410C4">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AB420">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40362</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02252">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40BC2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747E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51EF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河津市绿色高标准农田建设项目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39C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小梁乡西梁村、阳村街道连伯村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9F80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6348</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F05D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10000亩绿色农田建设工程；农田生态环境改善工程；绿色农业产业发展工程；水土流失治理工程。</w:t>
            </w:r>
          </w:p>
        </w:tc>
      </w:tr>
      <w:tr w14:paraId="6CCF2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86C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D683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河津市2022年高标准农田建设项目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552F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僧楼镇、阳村街道、柴家镇、城区街道等村。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50DE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1950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5630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深松耕13000亩，增施有机肥13000亩，铺设φ125PE管103公里，整修田间道路165公里，栽植农田林网7000株，安装土壤墒情自动监测设备2套。</w:t>
            </w:r>
          </w:p>
        </w:tc>
      </w:tr>
      <w:tr w14:paraId="3E66A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7"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87E4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19E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运城市垣曲县农业机械化技术集成示范基地及杂粮有机旱做生产全程机械化作业补助项目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DFE5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古城镇、解峪乡、历山镇、长直乡等村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143C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5B93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在解峪乡实施4000亩；历山镇实施4000亩；长直乡实施3000亩。建设2000亩玉米生产全程机械化技术集成示范基地1-2个。</w:t>
            </w:r>
          </w:p>
        </w:tc>
      </w:tr>
      <w:tr w14:paraId="43BC1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3"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A66F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41E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稷山县全国农作物病虫疫情监测分中心（省级）田间监测点</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6E86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各乡镇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522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7F6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新建农作物病虫疫情田间监测点，配备完善相应设施设备和数据传输、汇总、分析等软硬件设施设备，以及简易交通工具。</w:t>
            </w:r>
          </w:p>
        </w:tc>
      </w:tr>
      <w:tr w14:paraId="668C8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6"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F955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2BE4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临猗县畜禽粪污资源化利用整县推进项目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508A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70AE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5564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2AFA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对99个规模养殖场和92个规模以下小型养殖场的粪污处理设施进行“填平补齐”、改造完善养殖场畜禽粪污收集、处理、利用等整套粪污处理设施。</w:t>
            </w:r>
          </w:p>
        </w:tc>
      </w:tr>
      <w:tr w14:paraId="0E99E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A93B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6CB8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稷山县农业科技重点实验室建设项目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CB1F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各乡镇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90D1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13860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1F02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建设1500㎡的实验室厂房，购置一批用于科研的仪器设备等。</w:t>
            </w:r>
          </w:p>
        </w:tc>
      </w:tr>
      <w:tr w14:paraId="54803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6F35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0A25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稷山循环经济示范园建设项目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586C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稷峰镇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DCB0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1800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6041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一期工程建设有机蔬菜示范基地100亩，生态养猪场100亩，饲养良种猪100万头，生态养鸡场80亩，饲养良种鸡50万只。二期工程建设畜禽粪便沼气池，占地面积10亩。建设生物有机肥厂，占地70亩；三期工程发展休闲观光农业，占地面积140亩。</w:t>
            </w:r>
          </w:p>
        </w:tc>
      </w:tr>
      <w:tr w14:paraId="45C78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6A66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9187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稷山县汾河湾田园综合体建设项目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E221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稷峰镇荆平村、苑曲村、蔡村乡小李村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0D93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5200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57D0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完善建设农业、文旅、居住田园综合体项目三大板块。</w:t>
            </w:r>
          </w:p>
        </w:tc>
      </w:tr>
      <w:tr w14:paraId="04F00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9557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312C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永济市农机产品研发项目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375B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永济大旺农业机械装备有限公司、永济荣盛机械配件加工有限公司</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7730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740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4DF6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研发小麦免耕防缠草宽幅播种机、玉米免耕防缠草施肥播种一体机、花椒脱籽筛选机、多功能开沟施肥覆土一体机、YXRS-</w:t>
            </w:r>
            <w:r>
              <w:rPr>
                <w:rStyle w:val="44"/>
                <w:rFonts w:hAnsi="宋体"/>
                <w:color w:val="auto"/>
                <w:shd w:val="clear" w:color="auto" w:fill="auto"/>
                <w:lang w:val="en-US" w:eastAsia="zh-CN" w:bidi="ar"/>
              </w:rPr>
              <w:t>16农林用四轮高架摇摆送风式高效喷雾机</w:t>
            </w:r>
          </w:p>
        </w:tc>
      </w:tr>
      <w:tr w14:paraId="0CDEA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7F90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C6BA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垣曲县农机发展中心设施大棚及配套设备项目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7E0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8FBE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900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1F449">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建成</w:t>
            </w:r>
            <w:r>
              <w:rPr>
                <w:rStyle w:val="44"/>
                <w:rFonts w:hAnsi="宋体"/>
                <w:color w:val="auto"/>
                <w:shd w:val="clear" w:color="auto" w:fill="auto"/>
                <w:lang w:val="en-US" w:eastAsia="zh-CN" w:bidi="ar"/>
              </w:rPr>
              <w:t>150个标准蔬菜温室大棚</w:t>
            </w:r>
          </w:p>
        </w:tc>
      </w:tr>
      <w:tr w14:paraId="3D711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F08D2">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七</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73171">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现代农业种业发展项目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386C3">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9EFEC">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6285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DC818">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7E895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D76B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E0F7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稷山县粮食产业转型升级建设项目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4103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稷山县马家巷、坑东村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4F89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2285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C0E70">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粮食生产核心示范区项目优质品种统供；智能化物联网工程；病虫害绿色防控工程；粮食烘干设备购置等；2、小麦良种繁育基地地力保护工程，智能水肥一体化基础建设，田间道路提升工程建设；3、科研基地建设智能水肥一体化建设。</w:t>
            </w:r>
          </w:p>
        </w:tc>
      </w:tr>
      <w:tr w14:paraId="7208D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EC8D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FB91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年产10000吨种子加工流水线及其配套工程</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62F2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盐湖工业园区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1677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4000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94B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拟建仓库10000平方米，种子低温库2000平方</w:t>
            </w:r>
            <w:r>
              <w:rPr>
                <w:rFonts w:hint="eastAsia" w:ascii="仿宋_GB2312" w:hAnsi="宋体" w:eastAsia="仿宋_GB2312" w:cs="仿宋_GB2312"/>
                <w:i w:val="0"/>
                <w:iCs w:val="0"/>
                <w:color w:val="auto"/>
                <w:spacing w:val="-6"/>
                <w:kern w:val="0"/>
                <w:sz w:val="21"/>
                <w:szCs w:val="21"/>
                <w:u w:val="none"/>
                <w:shd w:val="clear" w:color="auto" w:fill="auto"/>
                <w:lang w:val="en-US" w:eastAsia="zh-CN" w:bidi="ar"/>
              </w:rPr>
              <w:t>米，14米高加工车间1200平方米；建设300亩高标准新品种试验、示范田；升级改造现有加工设备一条，配套相应电力设施。</w:t>
            </w:r>
          </w:p>
        </w:tc>
      </w:tr>
      <w:tr w14:paraId="4491A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9005E">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八</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E3E49">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粮牧渔高产创建项目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933D9">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F4B65">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365364.29</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23525">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484DA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63FC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46D4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城市海晟源新能源数字化盐碱渔业养殖产业园项目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FB37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盐湖区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FDC9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189000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8A77B">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建设50万平方米新能源数字化水产养殖车间；建设20000平方盐碱水产经济种业园区；建设500亩盐碱设施化渔业培训实操基地，盐碱推广渔业研究中心。</w:t>
            </w:r>
          </w:p>
        </w:tc>
      </w:tr>
      <w:tr w14:paraId="7BFCA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9746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E180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临猗县中华鳖水产种质资源场建设</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DA8D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角杯乡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BA8D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CDC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新建框架结构恒温节能育苗车间1栋；改建单栋建筑面积1200平米；改建亲本培育池13个；修建3米宽道路425米；埋设低压电网400米；埋设进排水管线1800米；购置仪器设备38台（套)。</w:t>
            </w:r>
          </w:p>
        </w:tc>
      </w:tr>
      <w:tr w14:paraId="67ABE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E9E7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1A50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临猗数智化渔业产业链项目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3196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孙吉镇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45B0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9BD1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建成孵化车间，对虾标苗车间、接待区</w:t>
            </w:r>
          </w:p>
        </w:tc>
      </w:tr>
      <w:tr w14:paraId="60303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8A42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2A1A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临猗县畜牧产业转型升级（生猪、家禽）项目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296F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北景乡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65BA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5411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3FA7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建设6个生猪规模养殖场，1个蛋鸡规模养殖场，完成猪肉产量0.4万吨，完成鸡蛋产量0.2万吨。</w:t>
            </w:r>
          </w:p>
        </w:tc>
      </w:tr>
      <w:tr w14:paraId="3087D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EF77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5438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万荣县标准化生猪养殖升级项目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1C7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贾</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村乡、光华乡、皇甫乡等乡镇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3632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11324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9520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新增出栏育肥猪30万头，建设生猪养殖圈舍及配套设施设备</w:t>
            </w:r>
          </w:p>
        </w:tc>
      </w:tr>
      <w:tr w14:paraId="610C5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5452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688A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垣曲县渔业建设项目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9B67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王</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茅镇、历山镇等</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9507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0D1A7">
            <w:pPr>
              <w:keepNext w:val="0"/>
              <w:keepLines w:val="0"/>
              <w:widowControl w:val="0"/>
              <w:suppressLineNumbers w:val="0"/>
              <w:spacing w:line="300" w:lineRule="exact"/>
              <w:jc w:val="both"/>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历山大鲵繁育基地的野外仿生态养殖池300m2</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，饵料养殖池80m2改造升级；历山繁育基地及保护地监控系统，红外高清监控50套。</w:t>
            </w:r>
          </w:p>
        </w:tc>
      </w:tr>
      <w:tr w14:paraId="5EED3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4574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4314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永济市长荣</w:t>
            </w:r>
            <w:r>
              <w:rPr>
                <w:rStyle w:val="44"/>
                <w:rFonts w:hAnsi="宋体"/>
                <w:color w:val="auto"/>
                <w:shd w:val="clear" w:color="auto" w:fill="auto"/>
                <w:lang w:val="en-US" w:eastAsia="zh-CN" w:bidi="ar"/>
              </w:rPr>
              <w:t>2400头原种猪核心育种场建设项目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986A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张营镇坛底村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91C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8000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109C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标准化猪舍25000平方米，生产辅助用房800平方米，办公用房300平方米。建设生物安全防控设施、病死猪、粪污处理设施；购置生产数据采集管理系统，自动化环控系统，智能化饲喂系统，种猪性能测定系统，仔猪补奶系统等其它辅助设备。</w:t>
            </w:r>
          </w:p>
        </w:tc>
      </w:tr>
      <w:tr w14:paraId="60A2D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1B9D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77FA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永济市年屠宰鸡</w:t>
            </w:r>
            <w:r>
              <w:rPr>
                <w:rStyle w:val="44"/>
                <w:rFonts w:hAnsi="宋体"/>
                <w:color w:val="auto"/>
                <w:shd w:val="clear" w:color="auto" w:fill="auto"/>
                <w:lang w:val="en-US" w:eastAsia="zh-CN" w:bidi="ar"/>
              </w:rPr>
              <w:t>9000万只生产线建设项目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0F6B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许</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家营工业园区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4542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2679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新增一条宰杀线设备；新增速冻库6个，扩建延长原速冻库6个；新增污水处理设备。</w:t>
            </w:r>
          </w:p>
        </w:tc>
      </w:tr>
      <w:tr w14:paraId="3DA83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6CD2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8DAE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芮城县新建兽药GMP标准化项目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528D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芮城县工业产业聚集区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95B9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2300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E37D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新建2020版兽药GMP生产车间1座及配套库房1座，对原有车间进行标准化，信息化，数字化升级改造。</w:t>
            </w:r>
          </w:p>
        </w:tc>
      </w:tr>
      <w:tr w14:paraId="1897D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D204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EC29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临猗县畜牧产业转型升级（生猪、家禽）项目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F661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北景乡、耽子镇、临晋镇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235D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5411</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DB7E5">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在北景乡建设4个规模生猪养殖场。在耽子镇建设1个规模生猪养殖场。在临晋镇建设1个规模养殖场。</w:t>
            </w:r>
          </w:p>
        </w:tc>
      </w:tr>
      <w:tr w14:paraId="0C058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E3BB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B75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县畜牧产业转型升级项目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8F9A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横水镇坡底村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29EB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E478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建设育肥舍12栋、保育舍4栋、转猪台，配套办公用房2栋三层等，同步建设生活房等公共辅助设施。</w:t>
            </w:r>
          </w:p>
        </w:tc>
      </w:tr>
      <w:tr w14:paraId="60ADB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9DE5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149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0251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垣曲县现代种业高质量发展温氏种猪场建设项目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C6CF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长直乡、华峰乡</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35C0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864DA">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建设三联体猪舍40栋，六联体猪舍5栋，各项生物安全、环保、办公及生活附属配套。</w:t>
            </w:r>
          </w:p>
        </w:tc>
      </w:tr>
      <w:tr w14:paraId="4249A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B6DF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D158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临猗县仙果农产品有限公司设施渔业</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36F5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角杯乡潘西村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CCE0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2653.29</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1BA1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现代化水产养殖基地1963亩，生产用房600平米，捕捞工具1500套  生产用小船30只  道路建设8000平米  水处理设施两套。</w:t>
            </w:r>
          </w:p>
        </w:tc>
      </w:tr>
      <w:tr w14:paraId="34CC2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9309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BEA3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芮城博霖畜牧产业提升工程建设项目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201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乐镇历山村南</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E18A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07F2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建设圈舍20栋，生活用房建筑20间。道路硬化2500平方米，储水池800立方米，尿污池4个，无害化处理池100立方米，料塔20套。</w:t>
            </w:r>
          </w:p>
        </w:tc>
      </w:tr>
      <w:tr w14:paraId="0E606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8FAE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25C9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芮城金牧畜牧产业提升工程建设项目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77CF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东垆乡许坡村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D28F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6C73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建设总存栏20000头生猪圈舍及相应配套附属设施。其中猪舍10栋，办公及生活区1000平方米。</w:t>
            </w:r>
          </w:p>
        </w:tc>
      </w:tr>
      <w:tr w14:paraId="45FD7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5390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BCDE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畜牧产业提升工程建设项目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DFEDE">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南磑镇东山底村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69C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0BA94">
            <w:pPr>
              <w:keepNext w:val="0"/>
              <w:keepLines w:val="0"/>
              <w:widowControl w:val="0"/>
              <w:suppressLineNumbers w:val="0"/>
              <w:spacing w:line="300" w:lineRule="exact"/>
              <w:jc w:val="both"/>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新建3栋共计2000平米猪舍；1栋450平方米仓库；1栋140平方米办公室及其他公辅工程、环保工程。</w:t>
            </w:r>
          </w:p>
        </w:tc>
      </w:tr>
      <w:tr w14:paraId="5DF90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9"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E0934">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九</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4E4B8">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药茶产业项目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3340F">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A5B18">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47223</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A0848">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29872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0375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19D1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山西天人菊业加工及冷储综合项目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8DDA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学张乡董原村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1C7A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2910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DB61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空气能烘干机5台、链条式烘干炉一座、10000立方冷藏库、1000平米分拣中心、3000平米交易物流中心、  检测中心。</w:t>
            </w:r>
          </w:p>
        </w:tc>
      </w:tr>
      <w:tr w14:paraId="03F6A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97C6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0E30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菊花标准化生产示范及初加工项目项目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2A77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学张乡斜口村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E1BC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1300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0B4D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建设20个茶菊育苗大棚，1000亩菊花示范栽植基地，建设1000平米晾晒场及烘干、仓储中心。</w:t>
            </w:r>
          </w:p>
        </w:tc>
      </w:tr>
      <w:tr w14:paraId="16930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5470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7EC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亚宝药业黄芩种植基地及检测设备建设项目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B060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永乐镇历山村，古魏镇亚宝一分公司</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D5CE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48B73">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扩建黄芩种植基地</w:t>
            </w:r>
            <w:r>
              <w:rPr>
                <w:rStyle w:val="44"/>
                <w:rFonts w:hAnsi="宋体"/>
                <w:color w:val="auto"/>
                <w:shd w:val="clear" w:color="auto" w:fill="auto"/>
                <w:lang w:val="en-US" w:eastAsia="zh-CN" w:bidi="ar"/>
              </w:rPr>
              <w:t>1000亩，增加中药检测设备10台套。</w:t>
            </w:r>
          </w:p>
        </w:tc>
      </w:tr>
      <w:tr w14:paraId="6FF1C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94F5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5E4D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山西康寿产地初加工及冷贮综合建设项目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4E9D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风陵渡经济开发区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898B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650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097D7">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新建1000立方米冷藏库；建设1200平米晾晒场；分选设备、空气能烘干设备。</w:t>
            </w:r>
          </w:p>
        </w:tc>
      </w:tr>
      <w:tr w14:paraId="5A671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7DD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5E3C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运城</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市绛县绛山晓日农业发展有限公司药茶加工项目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2ED9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么里镇东官庄村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72E7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2F47E">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w:t>
            </w:r>
            <w:r>
              <w:rPr>
                <w:rStyle w:val="44"/>
                <w:rFonts w:hAnsi="宋体"/>
                <w:color w:val="auto"/>
                <w:shd w:val="clear" w:color="auto" w:fill="auto"/>
                <w:lang w:val="en-US" w:eastAsia="zh-CN" w:bidi="ar"/>
              </w:rPr>
              <w:t>3000平米厂房、购置安装生产设备16台（套）、年加工药茶5吨</w:t>
            </w:r>
          </w:p>
        </w:tc>
      </w:tr>
      <w:tr w14:paraId="74C35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8594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159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A96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绛县山西维之王食品有限公司生态型山楂叶综合开发项目项目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1E75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古绛镇峪南村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3829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09F54">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建设生态山楂茶园</w:t>
            </w:r>
            <w:r>
              <w:rPr>
                <w:rStyle w:val="44"/>
                <w:rFonts w:hAnsi="宋体"/>
                <w:color w:val="auto"/>
                <w:shd w:val="clear" w:color="auto" w:fill="auto"/>
                <w:lang w:val="en-US" w:eastAsia="zh-CN" w:bidi="ar"/>
              </w:rPr>
              <w:t>500亩，建成2000平方米、年产55吨的山楂益心茶加工车间和引进先进的茶叶杀青、滚揉、炒制、分级和包装设备。</w:t>
            </w:r>
          </w:p>
        </w:tc>
      </w:tr>
      <w:tr w14:paraId="60D10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3A82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E30A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闻喜县新桐农业开发有限公司药茶原料标准化生产示范基地</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F28F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桐城镇城西工业园开发区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FB04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11275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A2B1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扩建300亩菊花种植基地,新建厂房40000平方米,引进设备200套。</w:t>
            </w:r>
          </w:p>
        </w:tc>
      </w:tr>
      <w:tr w14:paraId="68A14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E031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930F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闻喜县龙鸣科技有限公司药茶原料标准化生产示范基地</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8EF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东镇营里村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7BD5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617</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94DD6">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扩建300亩杜仲加黄芩基地建设，扩大厂房,增加机器设备。</w:t>
            </w:r>
          </w:p>
        </w:tc>
      </w:tr>
      <w:tr w14:paraId="7694F5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56F6D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8408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闻</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喜县果药茶提质增效项目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26D2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薛店镇、畖底镇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E416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1235</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4007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建设中药材标准化示范基地</w:t>
            </w:r>
            <w:r>
              <w:rPr>
                <w:rStyle w:val="44"/>
                <w:rFonts w:hAnsi="宋体"/>
                <w:color w:val="auto"/>
                <w:shd w:val="clear" w:color="auto" w:fill="auto"/>
                <w:lang w:val="en-US" w:eastAsia="zh-CN" w:bidi="ar"/>
              </w:rPr>
              <w:t>5000亩，培育扶持一个中药材种植、收购初加工企业，建设500亩药茶标准化生产示范基地。</w:t>
            </w:r>
          </w:p>
        </w:tc>
      </w:tr>
      <w:tr w14:paraId="0FA0B8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70F3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22FB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山西睿鑫农业科技有限公司垣曲县万寿菊种植及加工项目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22BD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曲县</w:t>
            </w:r>
            <w:r>
              <w:rPr>
                <w:rStyle w:val="23"/>
                <w:rFonts w:hAnsi="宋体"/>
                <w:color w:val="auto"/>
                <w:spacing w:val="-11"/>
                <w:kern w:val="0"/>
                <w:shd w:val="clear" w:color="auto" w:fill="auto"/>
                <w:lang w:val="en-US" w:eastAsia="zh-CN" w:bidi="ar"/>
              </w:rPr>
              <w:t>11个乡镇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22FC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2456</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70B5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建设万寿菊种植基地2万亩。建设万寿菊加工厂区，购置初加工设备。</w:t>
            </w:r>
          </w:p>
        </w:tc>
      </w:tr>
      <w:tr w14:paraId="1AAB8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C5E8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164</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0A4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山西舜聚康药茶产业发展有限公司</w:t>
            </w:r>
            <w:r>
              <w:rPr>
                <w:rStyle w:val="44"/>
                <w:rFonts w:hAnsi="宋体"/>
                <w:color w:val="auto"/>
                <w:shd w:val="clear" w:color="auto" w:fill="auto"/>
                <w:lang w:val="en-US" w:eastAsia="zh-CN" w:bidi="ar"/>
              </w:rPr>
              <w:t>2021药茶原料标准化示范基地项目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4DB6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5A07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22000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71DE8">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在华峰乡、英言镇发展连翘基地2个，历山镇、长直乡、古城镇发展黄芩基地1个，黄芪基地3个，皋落乡发展金丝黄菊2个，建设药茶基地8个，面积50000亩。</w:t>
            </w:r>
          </w:p>
        </w:tc>
      </w:tr>
      <w:tr w14:paraId="08929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AA2EA">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165</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A233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永济市国强食品有限公司</w:t>
            </w:r>
            <w:r>
              <w:rPr>
                <w:rStyle w:val="44"/>
                <w:rFonts w:hAnsi="宋体"/>
                <w:color w:val="auto"/>
                <w:shd w:val="clear" w:color="auto" w:fill="auto"/>
                <w:lang w:val="en-US" w:eastAsia="zh-CN" w:bidi="ar"/>
              </w:rPr>
              <w:t>2021年药茶提升项目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CA86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国强食品公司</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0F05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560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2D672">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药茶车间提升，设备增加。</w:t>
            </w:r>
          </w:p>
        </w:tc>
      </w:tr>
      <w:tr w14:paraId="0B616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E3FEC">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166</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5851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万荣县药茶产业发展项目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F708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西村乡、解店镇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A831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520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7536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建设药茶原料（连翘）标准化示范基地 500亩，培育3个药茶加工企业，支持1个药茶相关标准的制定。</w:t>
            </w:r>
          </w:p>
        </w:tc>
      </w:tr>
      <w:tr w14:paraId="3C7DE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BBA97">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十</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03A2D">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美丽乡村及休闲农业建设项目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E8987">
            <w:pPr>
              <w:spacing w:line="300" w:lineRule="exact"/>
              <w:jc w:val="center"/>
              <w:rPr>
                <w:rFonts w:hint="eastAsia" w:ascii="仿宋_GB2312" w:hAnsi="宋体" w:eastAsia="仿宋_GB2312" w:cs="仿宋_GB2312"/>
                <w:b/>
                <w:bCs/>
                <w:i w:val="0"/>
                <w:iCs w:val="0"/>
                <w:color w:val="auto"/>
                <w:sz w:val="21"/>
                <w:szCs w:val="21"/>
                <w:u w:val="none"/>
                <w:shd w:val="clear" w:color="auto" w:fill="auto"/>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CAFCC">
            <w:pPr>
              <w:keepNext w:val="0"/>
              <w:keepLines w:val="0"/>
              <w:widowControl w:val="0"/>
              <w:suppressLineNumbers w:val="0"/>
              <w:spacing w:line="300" w:lineRule="exact"/>
              <w:jc w:val="center"/>
              <w:textAlignment w:val="center"/>
              <w:rPr>
                <w:rFonts w:hint="eastAsia" w:ascii="仿宋_GB2312" w:hAnsi="宋体" w:eastAsia="仿宋_GB2312" w:cs="仿宋_GB2312"/>
                <w:b/>
                <w:bCs/>
                <w:i w:val="0"/>
                <w:iCs w:val="0"/>
                <w:color w:val="auto"/>
                <w:sz w:val="21"/>
                <w:szCs w:val="21"/>
                <w:u w:val="none"/>
                <w:shd w:val="clear" w:color="auto" w:fill="auto"/>
              </w:rPr>
            </w:pPr>
            <w:r>
              <w:rPr>
                <w:rFonts w:hint="eastAsia" w:ascii="仿宋_GB2312" w:hAnsi="宋体" w:eastAsia="仿宋_GB2312" w:cs="仿宋_GB2312"/>
                <w:b/>
                <w:bCs/>
                <w:i w:val="0"/>
                <w:iCs w:val="0"/>
                <w:color w:val="auto"/>
                <w:kern w:val="0"/>
                <w:sz w:val="21"/>
                <w:szCs w:val="21"/>
                <w:u w:val="none"/>
                <w:shd w:val="clear" w:color="auto" w:fill="auto"/>
                <w:lang w:val="en-US" w:eastAsia="zh-CN" w:bidi="ar"/>
              </w:rPr>
              <w:t>177424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E4AC2">
            <w:pPr>
              <w:spacing w:line="300" w:lineRule="exact"/>
              <w:jc w:val="left"/>
              <w:rPr>
                <w:rFonts w:hint="eastAsia" w:ascii="仿宋_GB2312" w:hAnsi="宋体" w:eastAsia="仿宋_GB2312" w:cs="仿宋_GB2312"/>
                <w:b/>
                <w:bCs/>
                <w:i w:val="0"/>
                <w:iCs w:val="0"/>
                <w:color w:val="auto"/>
                <w:sz w:val="21"/>
                <w:szCs w:val="21"/>
                <w:u w:val="none"/>
                <w:shd w:val="clear" w:color="auto" w:fill="auto"/>
              </w:rPr>
            </w:pPr>
          </w:p>
        </w:tc>
      </w:tr>
      <w:tr w14:paraId="78EEE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9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24FA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167</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3AF4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w:t>
            </w:r>
            <w:r>
              <w:rPr>
                <w:rStyle w:val="44"/>
                <w:rFonts w:hAnsi="宋体"/>
                <w:color w:val="auto"/>
                <w:shd w:val="clear" w:color="auto" w:fill="auto"/>
                <w:lang w:val="en-US" w:eastAsia="zh-CN" w:bidi="ar"/>
              </w:rPr>
              <w:t>2021-2022年美丽乡村建设项目（一期）</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53B4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新绛县</w:t>
            </w:r>
            <w:r>
              <w:rPr>
                <w:rStyle w:val="44"/>
                <w:rFonts w:hAnsi="宋体"/>
                <w:color w:val="auto"/>
                <w:shd w:val="clear" w:color="auto" w:fill="auto"/>
                <w:lang w:val="en-US" w:eastAsia="zh-CN" w:bidi="ar"/>
              </w:rPr>
              <w:t>9镇26个村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6E04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26824</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2B831">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村庄基础设施提升和公共服务设施改善、文化与自然资源旅游开发、现代休闲观光农业开发等建设项目</w:t>
            </w:r>
          </w:p>
        </w:tc>
      </w:tr>
      <w:tr w14:paraId="3568C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DB53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168</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8047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河津市美丽乡村建设项目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7BCA8">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河津市境域内</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27A2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9C37F">
            <w:pPr>
              <w:keepNext w:val="0"/>
              <w:keepLines w:val="0"/>
              <w:widowControl w:val="0"/>
              <w:suppressLineNumbers w:val="0"/>
              <w:spacing w:line="300" w:lineRule="exact"/>
              <w:jc w:val="left"/>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以村容村貌提升、星级文明户创评、四好卫生家庭创建，生活垃圾治理、线路整治、基层党建、日间照料中心建设、改厕、改水改暖，硬化、亮化、绿化、美化、弘扬文化等内容为重点，打造示范村41个。</w:t>
            </w:r>
          </w:p>
        </w:tc>
      </w:tr>
      <w:tr w14:paraId="1D295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085C4">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169</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9E83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稷山县农村生活污水处理项目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1FE4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各乡镇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7429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35000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AE1F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建设成日处理污水2000吨的转运、处理系统。</w:t>
            </w:r>
          </w:p>
        </w:tc>
      </w:tr>
      <w:tr w14:paraId="7E976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DCC7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170</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0D41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山西玺汇市政工程有限公司污水处理项目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73CE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翟店镇</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南梁村</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D108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3600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96D85">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建设成日处理污水1500吨的转运、处理系统。</w:t>
            </w:r>
          </w:p>
        </w:tc>
      </w:tr>
      <w:tr w14:paraId="1CC23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A540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171</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8A3C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稷山县村庄公共基础设施建设工程</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5EFC2">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稷山县</w:t>
            </w:r>
            <w:r>
              <w:rPr>
                <w:rFonts w:hint="eastAsia" w:ascii="仿宋_GB2312" w:hAnsi="宋体" w:eastAsia="仿宋_GB2312" w:cs="仿宋_GB2312"/>
                <w:i w:val="0"/>
                <w:iCs w:val="0"/>
                <w:color w:val="auto"/>
                <w:kern w:val="0"/>
                <w:sz w:val="21"/>
                <w:szCs w:val="21"/>
                <w:u w:val="none"/>
                <w:shd w:val="clear" w:color="auto" w:fill="auto"/>
                <w:lang w:val="en-US" w:eastAsia="zh-CN" w:bidi="ar"/>
              </w:rPr>
              <w:br w:type="textWrapping"/>
            </w:r>
            <w:r>
              <w:rPr>
                <w:rFonts w:hint="eastAsia" w:ascii="仿宋_GB2312" w:hAnsi="宋体" w:eastAsia="仿宋_GB2312" w:cs="仿宋_GB2312"/>
                <w:i w:val="0"/>
                <w:iCs w:val="0"/>
                <w:color w:val="auto"/>
                <w:kern w:val="0"/>
                <w:sz w:val="21"/>
                <w:szCs w:val="21"/>
                <w:u w:val="none"/>
                <w:shd w:val="clear" w:color="auto" w:fill="auto"/>
                <w:lang w:val="en-US" w:eastAsia="zh-CN" w:bidi="ar"/>
              </w:rPr>
              <w:t>各乡镇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6102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70000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34CB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全县140个农村街巷道水泥路硬化、绿化、亮化、美化等工程</w:t>
            </w:r>
          </w:p>
        </w:tc>
      </w:tr>
      <w:tr w14:paraId="47C30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2281F">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172</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35B99">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垣曲县亳清河休闲观光农业示范区</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4152D">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新城镇</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91AB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29000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2875B">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特色农产品销售集市、精品果蔬采摘、野外自助烧烤、四季垂钓园、露营、亲子乐园商业小吃街、特色民宿。</w:t>
            </w:r>
          </w:p>
        </w:tc>
      </w:tr>
      <w:tr w14:paraId="44D97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7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2D517">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sz w:val="21"/>
                <w:szCs w:val="21"/>
                <w:u w:val="none"/>
                <w:shd w:val="clear" w:color="auto" w:fill="auto"/>
              </w:rPr>
            </w:pPr>
            <w:r>
              <w:rPr>
                <w:rFonts w:hint="eastAsia" w:ascii="仿宋_GB2312" w:hAnsi="宋体" w:eastAsia="仿宋_GB2312" w:cs="仿宋_GB2312"/>
                <w:i w:val="0"/>
                <w:iCs w:val="0"/>
                <w:color w:val="auto"/>
                <w:kern w:val="0"/>
                <w:sz w:val="21"/>
                <w:szCs w:val="21"/>
                <w:u w:val="none"/>
                <w:shd w:val="clear" w:color="auto" w:fill="auto"/>
                <w:lang w:val="en-US" w:eastAsia="zh-CN" w:bidi="ar"/>
              </w:rPr>
              <w:t>173</w:t>
            </w:r>
          </w:p>
        </w:tc>
        <w:tc>
          <w:tcPr>
            <w:tcW w:w="2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BE663">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万荣县凯迪生态农业休闲康养农庄建设项目</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DC756">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现</w:t>
            </w:r>
            <w:r>
              <w:rPr>
                <w:rFonts w:hint="eastAsia" w:ascii="仿宋_GB2312" w:hAnsi="宋体" w:eastAsia="仿宋_GB2312" w:cs="仿宋_GB2312"/>
                <w:i w:val="0"/>
                <w:iCs w:val="0"/>
                <w:color w:val="auto"/>
                <w:spacing w:val="-11"/>
                <w:kern w:val="0"/>
                <w:sz w:val="21"/>
                <w:szCs w:val="21"/>
                <w:u w:val="none"/>
                <w:shd w:val="clear" w:color="auto" w:fill="auto"/>
                <w:lang w:val="en-US" w:eastAsia="zh-CN" w:bidi="ar"/>
              </w:rPr>
              <w:t>代农业示范区</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35891">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3000</w:t>
            </w:r>
          </w:p>
        </w:tc>
        <w:tc>
          <w:tcPr>
            <w:tcW w:w="4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67800">
            <w:pPr>
              <w:keepNext w:val="0"/>
              <w:keepLines w:val="0"/>
              <w:widowControl w:val="0"/>
              <w:suppressLineNumbers w:val="0"/>
              <w:spacing w:line="300" w:lineRule="exact"/>
              <w:jc w:val="center"/>
              <w:textAlignment w:val="center"/>
              <w:rPr>
                <w:rFonts w:hint="eastAsia" w:ascii="仿宋_GB2312" w:hAnsi="宋体" w:eastAsia="仿宋_GB2312" w:cs="仿宋_GB2312"/>
                <w:i w:val="0"/>
                <w:iCs w:val="0"/>
                <w:color w:val="auto"/>
                <w:kern w:val="0"/>
                <w:sz w:val="21"/>
                <w:szCs w:val="21"/>
                <w:u w:val="none"/>
                <w:shd w:val="clear" w:color="auto" w:fill="auto"/>
                <w:lang w:bidi="ar"/>
              </w:rPr>
            </w:pPr>
            <w:r>
              <w:rPr>
                <w:rFonts w:hint="eastAsia" w:ascii="仿宋_GB2312" w:hAnsi="宋体" w:eastAsia="仿宋_GB2312" w:cs="仿宋_GB2312"/>
                <w:i w:val="0"/>
                <w:iCs w:val="0"/>
                <w:color w:val="auto"/>
                <w:kern w:val="0"/>
                <w:sz w:val="21"/>
                <w:szCs w:val="21"/>
                <w:u w:val="none"/>
                <w:shd w:val="clear" w:color="auto" w:fill="auto"/>
                <w:lang w:val="en-US" w:eastAsia="zh-CN" w:bidi="ar"/>
              </w:rPr>
              <w:t>建设窑洞2000㎡，开挖鱼塘、硬化路面，种植苹果、桃、梨、樱桃等水果1000亩，开展观光采摘、红酒储藏、休闲康养。</w:t>
            </w:r>
          </w:p>
        </w:tc>
      </w:tr>
    </w:tbl>
    <w:p w14:paraId="138E70BF">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仿宋_GB2312" w:hAnsi="仿宋_GB2312" w:eastAsia="仿宋_GB2312" w:cs="仿宋_GB2312"/>
          <w:color w:val="auto"/>
          <w:shd w:val="clear" w:color="auto" w:fill="auto"/>
        </w:rPr>
      </w:pPr>
    </w:p>
    <w:sectPr>
      <w:footerReference r:id="rId9" w:type="default"/>
      <w:pgSz w:w="11849" w:h="16838"/>
      <w:pgMar w:top="1871" w:right="1531" w:bottom="1871" w:left="1531" w:header="851" w:footer="1417" w:gutter="0"/>
      <w:pgNumType w:fmt="decimal" w:start="1"/>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_GBK">
    <w:altName w:val="微软雅黑"/>
    <w:panose1 w:val="02000000000000000000"/>
    <w:charset w:val="86"/>
    <w:family w:val="auto"/>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044A5">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15BDE">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1AE50">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82A23">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1B58A">
    <w:pPr>
      <w:pStyle w:val="14"/>
      <w:tabs>
        <w:tab w:val="center" w:pos="4393"/>
        <w:tab w:val="clear" w:pos="4153"/>
      </w:tabs>
    </w:pPr>
    <w:r>
      <w:pict>
        <v:shape id="_x0000_s4098" o:spid="_x0000_s4098"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591A2F05">
                <w:pPr>
                  <w:pStyle w:val="14"/>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val="en-US" w:eastAsia="zh-CN"/>
                  </w:rPr>
                  <w:fldChar w:fldCharType="begin"/>
                </w:r>
                <w:r>
                  <w:rPr>
                    <w:rFonts w:hint="eastAsia" w:ascii="仿宋_GB2312" w:hAnsi="仿宋_GB2312" w:eastAsia="仿宋_GB2312" w:cs="仿宋_GB2312"/>
                    <w:sz w:val="28"/>
                    <w:szCs w:val="28"/>
                    <w:lang w:val="en-US" w:eastAsia="zh-CN"/>
                  </w:rPr>
                  <w:instrText xml:space="preserve"> PAGE  \* MERGEFORMAT </w:instrText>
                </w:r>
                <w:r>
                  <w:rPr>
                    <w:rFonts w:hint="eastAsia" w:ascii="仿宋_GB2312" w:hAnsi="仿宋_GB2312" w:eastAsia="仿宋_GB2312" w:cs="仿宋_GB2312"/>
                    <w:sz w:val="28"/>
                    <w:szCs w:val="28"/>
                    <w:lang w:val="en-US" w:eastAsia="zh-CN"/>
                  </w:rPr>
                  <w:fldChar w:fldCharType="separate"/>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en-US" w:eastAsia="zh-CN"/>
                  </w:rPr>
                  <w:fldChar w:fldCharType="end"/>
                </w:r>
                <w:r>
                  <w:rPr>
                    <w:rFonts w:hint="default" w:ascii="Times New Roman" w:hAnsi="Times New Roman" w:cs="Times New Roman"/>
                    <w:sz w:val="24"/>
                    <w:szCs w:val="24"/>
                    <w:lang w:val="en-US" w:eastAsia="zh-CN"/>
                  </w:rPr>
                  <w:t xml:space="preserve"> —</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EzOTViZjFmMzEyYjY0YmQ3MjRhMjJkMzI3NGJkNmUifQ=="/>
  </w:docVars>
  <w:rsids>
    <w:rsidRoot w:val="38A9123F"/>
    <w:rsid w:val="0000292E"/>
    <w:rsid w:val="000413F2"/>
    <w:rsid w:val="001B61AF"/>
    <w:rsid w:val="001C733E"/>
    <w:rsid w:val="00255F88"/>
    <w:rsid w:val="00335822"/>
    <w:rsid w:val="00387E48"/>
    <w:rsid w:val="00523AF5"/>
    <w:rsid w:val="006203DD"/>
    <w:rsid w:val="006F212B"/>
    <w:rsid w:val="00747666"/>
    <w:rsid w:val="00780A7B"/>
    <w:rsid w:val="00807DB2"/>
    <w:rsid w:val="00854A86"/>
    <w:rsid w:val="00887CF8"/>
    <w:rsid w:val="009256C9"/>
    <w:rsid w:val="00A27985"/>
    <w:rsid w:val="00AE157E"/>
    <w:rsid w:val="00B23AE6"/>
    <w:rsid w:val="00B61243"/>
    <w:rsid w:val="00B628F7"/>
    <w:rsid w:val="00BF0FBD"/>
    <w:rsid w:val="00C51045"/>
    <w:rsid w:val="00D12AFC"/>
    <w:rsid w:val="00D41740"/>
    <w:rsid w:val="00D62DBD"/>
    <w:rsid w:val="00DA3643"/>
    <w:rsid w:val="00ED400F"/>
    <w:rsid w:val="00FC51CC"/>
    <w:rsid w:val="00FC6962"/>
    <w:rsid w:val="00FF0DF7"/>
    <w:rsid w:val="014437FB"/>
    <w:rsid w:val="01665367"/>
    <w:rsid w:val="01AC7D42"/>
    <w:rsid w:val="01B6046E"/>
    <w:rsid w:val="01D1354E"/>
    <w:rsid w:val="01DB1C83"/>
    <w:rsid w:val="01FE5971"/>
    <w:rsid w:val="021138F7"/>
    <w:rsid w:val="02695C25"/>
    <w:rsid w:val="02A053E0"/>
    <w:rsid w:val="03270D0A"/>
    <w:rsid w:val="03477468"/>
    <w:rsid w:val="03645AFB"/>
    <w:rsid w:val="03BC726C"/>
    <w:rsid w:val="03BE185C"/>
    <w:rsid w:val="03C42E7B"/>
    <w:rsid w:val="03C70711"/>
    <w:rsid w:val="03CE5F4B"/>
    <w:rsid w:val="03EDCA58"/>
    <w:rsid w:val="03EF31D2"/>
    <w:rsid w:val="041D1D70"/>
    <w:rsid w:val="042F69F0"/>
    <w:rsid w:val="04866F89"/>
    <w:rsid w:val="04A25C4F"/>
    <w:rsid w:val="04B43680"/>
    <w:rsid w:val="04BB7601"/>
    <w:rsid w:val="04DE525A"/>
    <w:rsid w:val="04E016AD"/>
    <w:rsid w:val="053973EC"/>
    <w:rsid w:val="0546047C"/>
    <w:rsid w:val="05997E8B"/>
    <w:rsid w:val="05D04388"/>
    <w:rsid w:val="05F792BC"/>
    <w:rsid w:val="060B2FF8"/>
    <w:rsid w:val="060D2627"/>
    <w:rsid w:val="06103A67"/>
    <w:rsid w:val="06675097"/>
    <w:rsid w:val="06A66D03"/>
    <w:rsid w:val="06AD62E4"/>
    <w:rsid w:val="06C489D8"/>
    <w:rsid w:val="06C54CB0"/>
    <w:rsid w:val="06D7510F"/>
    <w:rsid w:val="06E0201B"/>
    <w:rsid w:val="075939FE"/>
    <w:rsid w:val="07B9D4A5"/>
    <w:rsid w:val="07C30F86"/>
    <w:rsid w:val="07DB478B"/>
    <w:rsid w:val="07DE473D"/>
    <w:rsid w:val="07FFC607"/>
    <w:rsid w:val="08553490"/>
    <w:rsid w:val="08645051"/>
    <w:rsid w:val="086A47BE"/>
    <w:rsid w:val="08882345"/>
    <w:rsid w:val="08911C01"/>
    <w:rsid w:val="089F79D2"/>
    <w:rsid w:val="08CF1E16"/>
    <w:rsid w:val="09002C0C"/>
    <w:rsid w:val="092F6FCD"/>
    <w:rsid w:val="09344196"/>
    <w:rsid w:val="09694109"/>
    <w:rsid w:val="09AF18D1"/>
    <w:rsid w:val="09BA2AC6"/>
    <w:rsid w:val="09FCD749"/>
    <w:rsid w:val="0A0F012B"/>
    <w:rsid w:val="0A2B76A7"/>
    <w:rsid w:val="0A5C284E"/>
    <w:rsid w:val="0A633688"/>
    <w:rsid w:val="0A7311AF"/>
    <w:rsid w:val="0A7EEFD7"/>
    <w:rsid w:val="0AA56579"/>
    <w:rsid w:val="0AA74DF8"/>
    <w:rsid w:val="0B275768"/>
    <w:rsid w:val="0B6F25C7"/>
    <w:rsid w:val="0BB377CC"/>
    <w:rsid w:val="0BD021F4"/>
    <w:rsid w:val="0BE167E1"/>
    <w:rsid w:val="0C5F15C0"/>
    <w:rsid w:val="0C601702"/>
    <w:rsid w:val="0C752D0B"/>
    <w:rsid w:val="0C885976"/>
    <w:rsid w:val="0C9B324C"/>
    <w:rsid w:val="0CAE3805"/>
    <w:rsid w:val="0CED0A04"/>
    <w:rsid w:val="0CFE6628"/>
    <w:rsid w:val="0D274559"/>
    <w:rsid w:val="0D5D3A8F"/>
    <w:rsid w:val="0D8941D3"/>
    <w:rsid w:val="0D9668EB"/>
    <w:rsid w:val="0DBA4EBD"/>
    <w:rsid w:val="0DC83149"/>
    <w:rsid w:val="0DFF995C"/>
    <w:rsid w:val="0DFFF774"/>
    <w:rsid w:val="0E316B3E"/>
    <w:rsid w:val="0E4C3F9E"/>
    <w:rsid w:val="0E5C05EF"/>
    <w:rsid w:val="0E8C4A31"/>
    <w:rsid w:val="0E961F15"/>
    <w:rsid w:val="0EA42E12"/>
    <w:rsid w:val="0EAA3109"/>
    <w:rsid w:val="0EAC374A"/>
    <w:rsid w:val="0ECB7EDB"/>
    <w:rsid w:val="0ED63EFE"/>
    <w:rsid w:val="0ED9579C"/>
    <w:rsid w:val="0EDA336A"/>
    <w:rsid w:val="0EF7D9A7"/>
    <w:rsid w:val="0EFA6DDC"/>
    <w:rsid w:val="0F1862C4"/>
    <w:rsid w:val="0F63648C"/>
    <w:rsid w:val="0F7F5777"/>
    <w:rsid w:val="0FAA4D32"/>
    <w:rsid w:val="0FD7F47C"/>
    <w:rsid w:val="0FEA1D87"/>
    <w:rsid w:val="0FEFE159"/>
    <w:rsid w:val="10066A65"/>
    <w:rsid w:val="101822F4"/>
    <w:rsid w:val="1029659D"/>
    <w:rsid w:val="10697FD4"/>
    <w:rsid w:val="10702764"/>
    <w:rsid w:val="11375250"/>
    <w:rsid w:val="1145536B"/>
    <w:rsid w:val="114F273A"/>
    <w:rsid w:val="115C1656"/>
    <w:rsid w:val="116B3023"/>
    <w:rsid w:val="1177DC3C"/>
    <w:rsid w:val="11B063FA"/>
    <w:rsid w:val="11B9347D"/>
    <w:rsid w:val="11D871FC"/>
    <w:rsid w:val="11E608FC"/>
    <w:rsid w:val="12042B30"/>
    <w:rsid w:val="12B0287A"/>
    <w:rsid w:val="12ED5CBA"/>
    <w:rsid w:val="131C20FB"/>
    <w:rsid w:val="131E0AF8"/>
    <w:rsid w:val="135247DB"/>
    <w:rsid w:val="1356385F"/>
    <w:rsid w:val="135F43C7"/>
    <w:rsid w:val="13667236"/>
    <w:rsid w:val="13734411"/>
    <w:rsid w:val="13A772FA"/>
    <w:rsid w:val="13B13C4F"/>
    <w:rsid w:val="13DC6DFE"/>
    <w:rsid w:val="14A42EE2"/>
    <w:rsid w:val="150D43F1"/>
    <w:rsid w:val="1523526E"/>
    <w:rsid w:val="1534669F"/>
    <w:rsid w:val="153544B2"/>
    <w:rsid w:val="154732D2"/>
    <w:rsid w:val="15693713"/>
    <w:rsid w:val="156E30E2"/>
    <w:rsid w:val="15AA47C2"/>
    <w:rsid w:val="1618464D"/>
    <w:rsid w:val="164D719B"/>
    <w:rsid w:val="16A10E35"/>
    <w:rsid w:val="16BE6431"/>
    <w:rsid w:val="16D132E0"/>
    <w:rsid w:val="16D231FD"/>
    <w:rsid w:val="16F292EA"/>
    <w:rsid w:val="16FE6DEF"/>
    <w:rsid w:val="16FFE775"/>
    <w:rsid w:val="1711488F"/>
    <w:rsid w:val="172C5003"/>
    <w:rsid w:val="1746135D"/>
    <w:rsid w:val="17638D1A"/>
    <w:rsid w:val="176C53FF"/>
    <w:rsid w:val="177C2FB3"/>
    <w:rsid w:val="17985699"/>
    <w:rsid w:val="17A466B3"/>
    <w:rsid w:val="17AFB00D"/>
    <w:rsid w:val="17D97390"/>
    <w:rsid w:val="17DFC6FF"/>
    <w:rsid w:val="17EE1F72"/>
    <w:rsid w:val="17FD012D"/>
    <w:rsid w:val="17FD1948"/>
    <w:rsid w:val="17FF90AF"/>
    <w:rsid w:val="182B52BA"/>
    <w:rsid w:val="1834197A"/>
    <w:rsid w:val="18351C95"/>
    <w:rsid w:val="184A3267"/>
    <w:rsid w:val="186962EB"/>
    <w:rsid w:val="186A6A74"/>
    <w:rsid w:val="1870214D"/>
    <w:rsid w:val="188F0E68"/>
    <w:rsid w:val="18997523"/>
    <w:rsid w:val="18E82CDC"/>
    <w:rsid w:val="19235F91"/>
    <w:rsid w:val="19270419"/>
    <w:rsid w:val="192C753C"/>
    <w:rsid w:val="19495DA1"/>
    <w:rsid w:val="19520625"/>
    <w:rsid w:val="19864975"/>
    <w:rsid w:val="19A6565B"/>
    <w:rsid w:val="19B10167"/>
    <w:rsid w:val="19C84D8B"/>
    <w:rsid w:val="19DA6FC4"/>
    <w:rsid w:val="19F81323"/>
    <w:rsid w:val="1A2521DD"/>
    <w:rsid w:val="1A444F23"/>
    <w:rsid w:val="1A475CB0"/>
    <w:rsid w:val="1A544563"/>
    <w:rsid w:val="1A556712"/>
    <w:rsid w:val="1AA81776"/>
    <w:rsid w:val="1AB9CB11"/>
    <w:rsid w:val="1AF23E6D"/>
    <w:rsid w:val="1B0F0EC3"/>
    <w:rsid w:val="1B18764C"/>
    <w:rsid w:val="1B1C053B"/>
    <w:rsid w:val="1B233A0E"/>
    <w:rsid w:val="1B7137A5"/>
    <w:rsid w:val="1B723200"/>
    <w:rsid w:val="1B88172B"/>
    <w:rsid w:val="1B960363"/>
    <w:rsid w:val="1BB7622A"/>
    <w:rsid w:val="1BB9402A"/>
    <w:rsid w:val="1BF794F9"/>
    <w:rsid w:val="1C4604D9"/>
    <w:rsid w:val="1C4E494C"/>
    <w:rsid w:val="1C671E4E"/>
    <w:rsid w:val="1C8925AF"/>
    <w:rsid w:val="1C926CAF"/>
    <w:rsid w:val="1CB379CF"/>
    <w:rsid w:val="1CBA09BB"/>
    <w:rsid w:val="1CE50E76"/>
    <w:rsid w:val="1CFF960E"/>
    <w:rsid w:val="1D532BBD"/>
    <w:rsid w:val="1D882F76"/>
    <w:rsid w:val="1D8C6305"/>
    <w:rsid w:val="1DAD6768"/>
    <w:rsid w:val="1DCF4867"/>
    <w:rsid w:val="1E0B09F4"/>
    <w:rsid w:val="1E1040E3"/>
    <w:rsid w:val="1E116D00"/>
    <w:rsid w:val="1E3F37D1"/>
    <w:rsid w:val="1E4556E3"/>
    <w:rsid w:val="1E580D00"/>
    <w:rsid w:val="1E7871CC"/>
    <w:rsid w:val="1E7B6870"/>
    <w:rsid w:val="1EEE0DF0"/>
    <w:rsid w:val="1F5B550D"/>
    <w:rsid w:val="1F7AA11A"/>
    <w:rsid w:val="1F7F12F9"/>
    <w:rsid w:val="1F8D6F06"/>
    <w:rsid w:val="1F9F6DC5"/>
    <w:rsid w:val="1FAC7952"/>
    <w:rsid w:val="1FD5E91B"/>
    <w:rsid w:val="1FD724DA"/>
    <w:rsid w:val="1FDD6ADF"/>
    <w:rsid w:val="1FE702F6"/>
    <w:rsid w:val="1FF86BA6"/>
    <w:rsid w:val="1FFBA817"/>
    <w:rsid w:val="1FFE3AE5"/>
    <w:rsid w:val="1FFF6F65"/>
    <w:rsid w:val="1FFFFA34"/>
    <w:rsid w:val="2039620D"/>
    <w:rsid w:val="20547378"/>
    <w:rsid w:val="20E1C041"/>
    <w:rsid w:val="211A5ECC"/>
    <w:rsid w:val="21472A39"/>
    <w:rsid w:val="215402EF"/>
    <w:rsid w:val="215F7D83"/>
    <w:rsid w:val="218617B3"/>
    <w:rsid w:val="21A513A0"/>
    <w:rsid w:val="21A659B2"/>
    <w:rsid w:val="21BA320B"/>
    <w:rsid w:val="21EF7673"/>
    <w:rsid w:val="227B4B6D"/>
    <w:rsid w:val="22853819"/>
    <w:rsid w:val="22B7775A"/>
    <w:rsid w:val="22BC5199"/>
    <w:rsid w:val="22C52559"/>
    <w:rsid w:val="234C2589"/>
    <w:rsid w:val="235407CF"/>
    <w:rsid w:val="23963820"/>
    <w:rsid w:val="23F84DBA"/>
    <w:rsid w:val="23FF99F5"/>
    <w:rsid w:val="24185B97"/>
    <w:rsid w:val="243A719A"/>
    <w:rsid w:val="249FE266"/>
    <w:rsid w:val="24D82326"/>
    <w:rsid w:val="2500362B"/>
    <w:rsid w:val="250A6F2C"/>
    <w:rsid w:val="25212855"/>
    <w:rsid w:val="25356264"/>
    <w:rsid w:val="255D7D5C"/>
    <w:rsid w:val="25626093"/>
    <w:rsid w:val="2570797E"/>
    <w:rsid w:val="257F5E08"/>
    <w:rsid w:val="259721E1"/>
    <w:rsid w:val="25AC5561"/>
    <w:rsid w:val="25B44364"/>
    <w:rsid w:val="25CD7C34"/>
    <w:rsid w:val="25D951D2"/>
    <w:rsid w:val="25DB03B6"/>
    <w:rsid w:val="26301CEE"/>
    <w:rsid w:val="26377520"/>
    <w:rsid w:val="263B66E8"/>
    <w:rsid w:val="26466979"/>
    <w:rsid w:val="264D6EB8"/>
    <w:rsid w:val="26891E4C"/>
    <w:rsid w:val="27032DF7"/>
    <w:rsid w:val="27117D71"/>
    <w:rsid w:val="27231762"/>
    <w:rsid w:val="272C1695"/>
    <w:rsid w:val="27763F87"/>
    <w:rsid w:val="279D4359"/>
    <w:rsid w:val="27AD0C41"/>
    <w:rsid w:val="27B612B1"/>
    <w:rsid w:val="27BA993E"/>
    <w:rsid w:val="27D0591D"/>
    <w:rsid w:val="27D86AE1"/>
    <w:rsid w:val="27DF588E"/>
    <w:rsid w:val="27E334B3"/>
    <w:rsid w:val="27EB5447"/>
    <w:rsid w:val="2882162A"/>
    <w:rsid w:val="289E8E67"/>
    <w:rsid w:val="28B362DE"/>
    <w:rsid w:val="28B467E3"/>
    <w:rsid w:val="28C01A4F"/>
    <w:rsid w:val="28F0502A"/>
    <w:rsid w:val="290E0CC2"/>
    <w:rsid w:val="290F1D89"/>
    <w:rsid w:val="29121B7F"/>
    <w:rsid w:val="2912275F"/>
    <w:rsid w:val="296D0FC8"/>
    <w:rsid w:val="29A956E4"/>
    <w:rsid w:val="29D60872"/>
    <w:rsid w:val="29F1450E"/>
    <w:rsid w:val="2A021BF3"/>
    <w:rsid w:val="2A181417"/>
    <w:rsid w:val="2A453D3E"/>
    <w:rsid w:val="2AF01FD8"/>
    <w:rsid w:val="2B201376"/>
    <w:rsid w:val="2B2356E1"/>
    <w:rsid w:val="2B3E44F4"/>
    <w:rsid w:val="2B5B15BB"/>
    <w:rsid w:val="2B5D3585"/>
    <w:rsid w:val="2B8F8D03"/>
    <w:rsid w:val="2B9240CC"/>
    <w:rsid w:val="2BBF40DD"/>
    <w:rsid w:val="2BC03B14"/>
    <w:rsid w:val="2C2440A3"/>
    <w:rsid w:val="2C63311C"/>
    <w:rsid w:val="2C7072E8"/>
    <w:rsid w:val="2C8C4F56"/>
    <w:rsid w:val="2C950AFD"/>
    <w:rsid w:val="2CD469EC"/>
    <w:rsid w:val="2CD47877"/>
    <w:rsid w:val="2CD61049"/>
    <w:rsid w:val="2CDB8022"/>
    <w:rsid w:val="2CF9108B"/>
    <w:rsid w:val="2D1F486A"/>
    <w:rsid w:val="2D5704A8"/>
    <w:rsid w:val="2DAA5A89"/>
    <w:rsid w:val="2DB5315D"/>
    <w:rsid w:val="2E112A9E"/>
    <w:rsid w:val="2E277E7A"/>
    <w:rsid w:val="2E2E0A62"/>
    <w:rsid w:val="2E322C13"/>
    <w:rsid w:val="2E450300"/>
    <w:rsid w:val="2E466F48"/>
    <w:rsid w:val="2EA375A6"/>
    <w:rsid w:val="2EBE3F9E"/>
    <w:rsid w:val="2EF44200"/>
    <w:rsid w:val="2EFD7C01"/>
    <w:rsid w:val="2F0F103A"/>
    <w:rsid w:val="2F106B60"/>
    <w:rsid w:val="2F260132"/>
    <w:rsid w:val="2F263C42"/>
    <w:rsid w:val="2F3B5D6E"/>
    <w:rsid w:val="2F5F72C0"/>
    <w:rsid w:val="2F6A3C71"/>
    <w:rsid w:val="2F6A6270"/>
    <w:rsid w:val="2F7778A8"/>
    <w:rsid w:val="2F99BDEC"/>
    <w:rsid w:val="2FA440D2"/>
    <w:rsid w:val="2FBA4E17"/>
    <w:rsid w:val="2FC86CF7"/>
    <w:rsid w:val="2FFAE054"/>
    <w:rsid w:val="2FFE228B"/>
    <w:rsid w:val="2FFFAA6D"/>
    <w:rsid w:val="30107586"/>
    <w:rsid w:val="30191A45"/>
    <w:rsid w:val="306D7A82"/>
    <w:rsid w:val="30AE6631"/>
    <w:rsid w:val="30C11D95"/>
    <w:rsid w:val="30CD5BE3"/>
    <w:rsid w:val="30D55E75"/>
    <w:rsid w:val="30FD4EC2"/>
    <w:rsid w:val="30FDF3E0"/>
    <w:rsid w:val="313C59EB"/>
    <w:rsid w:val="315E5000"/>
    <w:rsid w:val="31670321"/>
    <w:rsid w:val="317A57A7"/>
    <w:rsid w:val="31975317"/>
    <w:rsid w:val="319FCBE0"/>
    <w:rsid w:val="31CC3212"/>
    <w:rsid w:val="31D62B26"/>
    <w:rsid w:val="32117BF5"/>
    <w:rsid w:val="321444CA"/>
    <w:rsid w:val="32171FB4"/>
    <w:rsid w:val="32414E1E"/>
    <w:rsid w:val="32496611"/>
    <w:rsid w:val="328B6D7F"/>
    <w:rsid w:val="32CD1308"/>
    <w:rsid w:val="32DA2CE8"/>
    <w:rsid w:val="32DD31FD"/>
    <w:rsid w:val="331F360A"/>
    <w:rsid w:val="3346ADD5"/>
    <w:rsid w:val="33496E63"/>
    <w:rsid w:val="33674FC9"/>
    <w:rsid w:val="33769419"/>
    <w:rsid w:val="339D3A6D"/>
    <w:rsid w:val="33AB50A9"/>
    <w:rsid w:val="33B419B2"/>
    <w:rsid w:val="33B65C87"/>
    <w:rsid w:val="33DD3A3C"/>
    <w:rsid w:val="33F33D1C"/>
    <w:rsid w:val="343637B7"/>
    <w:rsid w:val="344F6B53"/>
    <w:rsid w:val="347A0610"/>
    <w:rsid w:val="349F69BC"/>
    <w:rsid w:val="34AB1B1B"/>
    <w:rsid w:val="34AB27B7"/>
    <w:rsid w:val="34D80E91"/>
    <w:rsid w:val="34EB7BFA"/>
    <w:rsid w:val="34F73FBF"/>
    <w:rsid w:val="34FC51B5"/>
    <w:rsid w:val="351A1C84"/>
    <w:rsid w:val="352E463B"/>
    <w:rsid w:val="35486B1A"/>
    <w:rsid w:val="354F2728"/>
    <w:rsid w:val="36657792"/>
    <w:rsid w:val="369FC01B"/>
    <w:rsid w:val="369FEED8"/>
    <w:rsid w:val="36CF5E7F"/>
    <w:rsid w:val="36DFE78D"/>
    <w:rsid w:val="36F78AA4"/>
    <w:rsid w:val="36FFA684"/>
    <w:rsid w:val="370D6FB9"/>
    <w:rsid w:val="37152F66"/>
    <w:rsid w:val="37270EEB"/>
    <w:rsid w:val="377FF2F8"/>
    <w:rsid w:val="37BAC36B"/>
    <w:rsid w:val="37BBA4AB"/>
    <w:rsid w:val="37BF3CD2"/>
    <w:rsid w:val="37C11747"/>
    <w:rsid w:val="37C436A2"/>
    <w:rsid w:val="37DB741B"/>
    <w:rsid w:val="37DE8CA3"/>
    <w:rsid w:val="37F80AFF"/>
    <w:rsid w:val="37F92528"/>
    <w:rsid w:val="37FCE331"/>
    <w:rsid w:val="381F1BC2"/>
    <w:rsid w:val="388C13D0"/>
    <w:rsid w:val="389A3789"/>
    <w:rsid w:val="38A9123F"/>
    <w:rsid w:val="38E04DE1"/>
    <w:rsid w:val="38F04500"/>
    <w:rsid w:val="38FFC1C4"/>
    <w:rsid w:val="39576612"/>
    <w:rsid w:val="39753D48"/>
    <w:rsid w:val="39761CB6"/>
    <w:rsid w:val="39CFDC6A"/>
    <w:rsid w:val="39D569DC"/>
    <w:rsid w:val="39DEDF6D"/>
    <w:rsid w:val="39E60BE9"/>
    <w:rsid w:val="39EB8E8E"/>
    <w:rsid w:val="39F97D03"/>
    <w:rsid w:val="3A1C460B"/>
    <w:rsid w:val="3A1E0B04"/>
    <w:rsid w:val="3A323E2F"/>
    <w:rsid w:val="3A445149"/>
    <w:rsid w:val="3A461688"/>
    <w:rsid w:val="3A5144DB"/>
    <w:rsid w:val="3A6169F0"/>
    <w:rsid w:val="3A734FC4"/>
    <w:rsid w:val="3A8148EF"/>
    <w:rsid w:val="3A9386E8"/>
    <w:rsid w:val="3AAB598F"/>
    <w:rsid w:val="3AC32C4B"/>
    <w:rsid w:val="3B235311"/>
    <w:rsid w:val="3B331C0C"/>
    <w:rsid w:val="3B3B4F65"/>
    <w:rsid w:val="3B3E7D99"/>
    <w:rsid w:val="3B535119"/>
    <w:rsid w:val="3B7BB3EB"/>
    <w:rsid w:val="3B8EE7FB"/>
    <w:rsid w:val="3B8F74A6"/>
    <w:rsid w:val="3B8FC092"/>
    <w:rsid w:val="3BA277B8"/>
    <w:rsid w:val="3BA40D5C"/>
    <w:rsid w:val="3BBF0C1F"/>
    <w:rsid w:val="3BD553B9"/>
    <w:rsid w:val="3BDF6224"/>
    <w:rsid w:val="3BF6D46D"/>
    <w:rsid w:val="3BFB124A"/>
    <w:rsid w:val="3BFE7E04"/>
    <w:rsid w:val="3BFE9829"/>
    <w:rsid w:val="3BFF0456"/>
    <w:rsid w:val="3BFF1408"/>
    <w:rsid w:val="3BFF6177"/>
    <w:rsid w:val="3C0B6E7B"/>
    <w:rsid w:val="3C137071"/>
    <w:rsid w:val="3C203EBE"/>
    <w:rsid w:val="3C55449F"/>
    <w:rsid w:val="3C567329"/>
    <w:rsid w:val="3C5F4C83"/>
    <w:rsid w:val="3C6A2A33"/>
    <w:rsid w:val="3C812E4B"/>
    <w:rsid w:val="3CB34CB3"/>
    <w:rsid w:val="3CB7DE9C"/>
    <w:rsid w:val="3CCF4425"/>
    <w:rsid w:val="3CE37662"/>
    <w:rsid w:val="3CEF0D43"/>
    <w:rsid w:val="3CF33D49"/>
    <w:rsid w:val="3CFDCE53"/>
    <w:rsid w:val="3D3F47ED"/>
    <w:rsid w:val="3D7F3052"/>
    <w:rsid w:val="3D965DC7"/>
    <w:rsid w:val="3DA54918"/>
    <w:rsid w:val="3DC47099"/>
    <w:rsid w:val="3DEE6CA9"/>
    <w:rsid w:val="3DF95662"/>
    <w:rsid w:val="3DFD961F"/>
    <w:rsid w:val="3DFE2E5B"/>
    <w:rsid w:val="3DFE622D"/>
    <w:rsid w:val="3E0B3293"/>
    <w:rsid w:val="3E4C6AA8"/>
    <w:rsid w:val="3E5B6F4A"/>
    <w:rsid w:val="3E5F1433"/>
    <w:rsid w:val="3E6D3687"/>
    <w:rsid w:val="3E6DD4ED"/>
    <w:rsid w:val="3E770874"/>
    <w:rsid w:val="3E932FA3"/>
    <w:rsid w:val="3EB3B930"/>
    <w:rsid w:val="3EC21D36"/>
    <w:rsid w:val="3EEF6470"/>
    <w:rsid w:val="3EF04BF2"/>
    <w:rsid w:val="3EFFE3AD"/>
    <w:rsid w:val="3F0C72EE"/>
    <w:rsid w:val="3F0FFE82"/>
    <w:rsid w:val="3F5B3E28"/>
    <w:rsid w:val="3F5D11BE"/>
    <w:rsid w:val="3F6F0AEB"/>
    <w:rsid w:val="3F779CE2"/>
    <w:rsid w:val="3F7822EA"/>
    <w:rsid w:val="3F807125"/>
    <w:rsid w:val="3FA8CAA3"/>
    <w:rsid w:val="3FA92575"/>
    <w:rsid w:val="3FAA0E29"/>
    <w:rsid w:val="3FC7F69F"/>
    <w:rsid w:val="3FDD2F6E"/>
    <w:rsid w:val="3FDF30FE"/>
    <w:rsid w:val="3FDF6002"/>
    <w:rsid w:val="3FDF7076"/>
    <w:rsid w:val="3FE689FE"/>
    <w:rsid w:val="3FEBF627"/>
    <w:rsid w:val="3FEF3805"/>
    <w:rsid w:val="3FF4B185"/>
    <w:rsid w:val="3FFA7130"/>
    <w:rsid w:val="3FFCE392"/>
    <w:rsid w:val="3FFD8930"/>
    <w:rsid w:val="3FFEEBF4"/>
    <w:rsid w:val="3FFF150E"/>
    <w:rsid w:val="3FFF58A1"/>
    <w:rsid w:val="3FFFE97F"/>
    <w:rsid w:val="401C5915"/>
    <w:rsid w:val="402B55A8"/>
    <w:rsid w:val="406A4A08"/>
    <w:rsid w:val="409A11B3"/>
    <w:rsid w:val="40A610D2"/>
    <w:rsid w:val="40FC2715"/>
    <w:rsid w:val="40FF2CA0"/>
    <w:rsid w:val="41070A71"/>
    <w:rsid w:val="411D7A54"/>
    <w:rsid w:val="41436921"/>
    <w:rsid w:val="418C1C32"/>
    <w:rsid w:val="41BC64C4"/>
    <w:rsid w:val="41BD66D4"/>
    <w:rsid w:val="41DE5769"/>
    <w:rsid w:val="420F64A2"/>
    <w:rsid w:val="42644DA1"/>
    <w:rsid w:val="42771B90"/>
    <w:rsid w:val="42982D81"/>
    <w:rsid w:val="42B87377"/>
    <w:rsid w:val="42C34409"/>
    <w:rsid w:val="42F57303"/>
    <w:rsid w:val="4359598E"/>
    <w:rsid w:val="43EF35D9"/>
    <w:rsid w:val="43FF7613"/>
    <w:rsid w:val="44093E52"/>
    <w:rsid w:val="44CFEAC2"/>
    <w:rsid w:val="44D9CA9F"/>
    <w:rsid w:val="44FBC37E"/>
    <w:rsid w:val="4533640E"/>
    <w:rsid w:val="45513D03"/>
    <w:rsid w:val="455F0C25"/>
    <w:rsid w:val="4585533A"/>
    <w:rsid w:val="45F13FBC"/>
    <w:rsid w:val="46250CEB"/>
    <w:rsid w:val="46A12136"/>
    <w:rsid w:val="4723160C"/>
    <w:rsid w:val="4723522B"/>
    <w:rsid w:val="4746716B"/>
    <w:rsid w:val="475A9DD7"/>
    <w:rsid w:val="4770243A"/>
    <w:rsid w:val="478A2783"/>
    <w:rsid w:val="47AF6ABF"/>
    <w:rsid w:val="47BA8015"/>
    <w:rsid w:val="47DF0D1A"/>
    <w:rsid w:val="47DF3413"/>
    <w:rsid w:val="481D00CA"/>
    <w:rsid w:val="48247621"/>
    <w:rsid w:val="486A64BA"/>
    <w:rsid w:val="486F26AA"/>
    <w:rsid w:val="48A013C8"/>
    <w:rsid w:val="48B85E47"/>
    <w:rsid w:val="48C13853"/>
    <w:rsid w:val="48C5656A"/>
    <w:rsid w:val="48CC38DA"/>
    <w:rsid w:val="48D8709A"/>
    <w:rsid w:val="48DA400F"/>
    <w:rsid w:val="48EF15BF"/>
    <w:rsid w:val="48F66B3E"/>
    <w:rsid w:val="491A5D58"/>
    <w:rsid w:val="49216739"/>
    <w:rsid w:val="49461A67"/>
    <w:rsid w:val="494A3C94"/>
    <w:rsid w:val="495223CA"/>
    <w:rsid w:val="49C60500"/>
    <w:rsid w:val="49CA7BE0"/>
    <w:rsid w:val="49FE8CD6"/>
    <w:rsid w:val="4A183C58"/>
    <w:rsid w:val="4A2B43F6"/>
    <w:rsid w:val="4A594435"/>
    <w:rsid w:val="4A8134F1"/>
    <w:rsid w:val="4AAD4D61"/>
    <w:rsid w:val="4ABD0824"/>
    <w:rsid w:val="4AD4683C"/>
    <w:rsid w:val="4AFF327B"/>
    <w:rsid w:val="4B0D0CEC"/>
    <w:rsid w:val="4B4734B2"/>
    <w:rsid w:val="4B9F0BF0"/>
    <w:rsid w:val="4BA821A3"/>
    <w:rsid w:val="4BB24DCF"/>
    <w:rsid w:val="4BC03713"/>
    <w:rsid w:val="4BC82845"/>
    <w:rsid w:val="4BCE024A"/>
    <w:rsid w:val="4BDFF7CB"/>
    <w:rsid w:val="4BEF4F2C"/>
    <w:rsid w:val="4C172E84"/>
    <w:rsid w:val="4C1B2975"/>
    <w:rsid w:val="4C7239CA"/>
    <w:rsid w:val="4C964871"/>
    <w:rsid w:val="4CAE0065"/>
    <w:rsid w:val="4D1578B7"/>
    <w:rsid w:val="4D36558C"/>
    <w:rsid w:val="4D3A1520"/>
    <w:rsid w:val="4D5394E8"/>
    <w:rsid w:val="4D6F940F"/>
    <w:rsid w:val="4DA06213"/>
    <w:rsid w:val="4DAF5D53"/>
    <w:rsid w:val="4DBF714D"/>
    <w:rsid w:val="4DDA5F91"/>
    <w:rsid w:val="4DEA66E2"/>
    <w:rsid w:val="4E205E12"/>
    <w:rsid w:val="4E206678"/>
    <w:rsid w:val="4EBE7145"/>
    <w:rsid w:val="4EFA5118"/>
    <w:rsid w:val="4F075432"/>
    <w:rsid w:val="4F3D59F9"/>
    <w:rsid w:val="4F3F7F1D"/>
    <w:rsid w:val="4F3FDADB"/>
    <w:rsid w:val="4F5D1DD6"/>
    <w:rsid w:val="4F6730AD"/>
    <w:rsid w:val="4F6EDEF3"/>
    <w:rsid w:val="4F716D4F"/>
    <w:rsid w:val="4F7ABD55"/>
    <w:rsid w:val="4F7D0326"/>
    <w:rsid w:val="4F9BE3A2"/>
    <w:rsid w:val="4FAC6035"/>
    <w:rsid w:val="4FBE3841"/>
    <w:rsid w:val="4FBF05DC"/>
    <w:rsid w:val="4FDF50BE"/>
    <w:rsid w:val="4FE11388"/>
    <w:rsid w:val="4FE235AC"/>
    <w:rsid w:val="4FE56980"/>
    <w:rsid w:val="4FEF1EDF"/>
    <w:rsid w:val="4FFD1547"/>
    <w:rsid w:val="4FFF090A"/>
    <w:rsid w:val="4FFF26A6"/>
    <w:rsid w:val="4FFF7949"/>
    <w:rsid w:val="504B29FB"/>
    <w:rsid w:val="507C59AC"/>
    <w:rsid w:val="508E1CDE"/>
    <w:rsid w:val="50B55DE7"/>
    <w:rsid w:val="50F243E3"/>
    <w:rsid w:val="519D118C"/>
    <w:rsid w:val="51A27CBD"/>
    <w:rsid w:val="51EA74EA"/>
    <w:rsid w:val="51FA6206"/>
    <w:rsid w:val="51FD58EA"/>
    <w:rsid w:val="520C17F1"/>
    <w:rsid w:val="52190B2F"/>
    <w:rsid w:val="5226723E"/>
    <w:rsid w:val="52750C27"/>
    <w:rsid w:val="527A416D"/>
    <w:rsid w:val="52947968"/>
    <w:rsid w:val="52A86B9E"/>
    <w:rsid w:val="52BB582A"/>
    <w:rsid w:val="52CD6A25"/>
    <w:rsid w:val="52F60736"/>
    <w:rsid w:val="53334A48"/>
    <w:rsid w:val="538E59C8"/>
    <w:rsid w:val="53BF8E7A"/>
    <w:rsid w:val="540757B4"/>
    <w:rsid w:val="5412059D"/>
    <w:rsid w:val="54216F96"/>
    <w:rsid w:val="54452097"/>
    <w:rsid w:val="545F7ABE"/>
    <w:rsid w:val="54B716A8"/>
    <w:rsid w:val="54BE09F5"/>
    <w:rsid w:val="54EC15B3"/>
    <w:rsid w:val="550B226B"/>
    <w:rsid w:val="55441954"/>
    <w:rsid w:val="557FCB6F"/>
    <w:rsid w:val="559B440F"/>
    <w:rsid w:val="55A978F5"/>
    <w:rsid w:val="55CC08C4"/>
    <w:rsid w:val="55D80D36"/>
    <w:rsid w:val="55FE0EA5"/>
    <w:rsid w:val="55FE15D0"/>
    <w:rsid w:val="56386181"/>
    <w:rsid w:val="56686692"/>
    <w:rsid w:val="566D64C3"/>
    <w:rsid w:val="567F7F48"/>
    <w:rsid w:val="567FF80D"/>
    <w:rsid w:val="56D935CD"/>
    <w:rsid w:val="56E76421"/>
    <w:rsid w:val="56F735BE"/>
    <w:rsid w:val="56F93392"/>
    <w:rsid w:val="56FD0691"/>
    <w:rsid w:val="56FE3FAD"/>
    <w:rsid w:val="571E5A0F"/>
    <w:rsid w:val="57325CF2"/>
    <w:rsid w:val="575136EE"/>
    <w:rsid w:val="577D6C0E"/>
    <w:rsid w:val="578CBE26"/>
    <w:rsid w:val="578F4217"/>
    <w:rsid w:val="579D6E00"/>
    <w:rsid w:val="57B65C47"/>
    <w:rsid w:val="57B679F5"/>
    <w:rsid w:val="57B831D7"/>
    <w:rsid w:val="57C8308A"/>
    <w:rsid w:val="57CF6D09"/>
    <w:rsid w:val="57E76422"/>
    <w:rsid w:val="57EC53ED"/>
    <w:rsid w:val="57EF7A97"/>
    <w:rsid w:val="57F70C52"/>
    <w:rsid w:val="57F72AD6"/>
    <w:rsid w:val="57F7885D"/>
    <w:rsid w:val="580A705B"/>
    <w:rsid w:val="58301984"/>
    <w:rsid w:val="583848AE"/>
    <w:rsid w:val="586C75CA"/>
    <w:rsid w:val="58711B6E"/>
    <w:rsid w:val="5882708A"/>
    <w:rsid w:val="58975B15"/>
    <w:rsid w:val="58CF6F93"/>
    <w:rsid w:val="58DA7713"/>
    <w:rsid w:val="58EC563B"/>
    <w:rsid w:val="58FA1B64"/>
    <w:rsid w:val="590838D8"/>
    <w:rsid w:val="59090D3D"/>
    <w:rsid w:val="59136DCB"/>
    <w:rsid w:val="591A3C37"/>
    <w:rsid w:val="594159E5"/>
    <w:rsid w:val="59475914"/>
    <w:rsid w:val="59903C64"/>
    <w:rsid w:val="59C4289D"/>
    <w:rsid w:val="59DE9D0E"/>
    <w:rsid w:val="59FE4EAE"/>
    <w:rsid w:val="5A1D3D5C"/>
    <w:rsid w:val="5A1F5D24"/>
    <w:rsid w:val="5A2C0C87"/>
    <w:rsid w:val="5A36604F"/>
    <w:rsid w:val="5A3D2293"/>
    <w:rsid w:val="5A421DDD"/>
    <w:rsid w:val="5A6B19BF"/>
    <w:rsid w:val="5A7ED882"/>
    <w:rsid w:val="5A9B3001"/>
    <w:rsid w:val="5AB97222"/>
    <w:rsid w:val="5ABCAB23"/>
    <w:rsid w:val="5AC7B69B"/>
    <w:rsid w:val="5B740018"/>
    <w:rsid w:val="5B841BB9"/>
    <w:rsid w:val="5BBE6708"/>
    <w:rsid w:val="5BC85F49"/>
    <w:rsid w:val="5BDFB926"/>
    <w:rsid w:val="5BE857E5"/>
    <w:rsid w:val="5BEF859D"/>
    <w:rsid w:val="5BFDA3CE"/>
    <w:rsid w:val="5BFE9B7B"/>
    <w:rsid w:val="5BFEF12E"/>
    <w:rsid w:val="5BFFF717"/>
    <w:rsid w:val="5C2869E8"/>
    <w:rsid w:val="5C7D0A79"/>
    <w:rsid w:val="5C9C69C3"/>
    <w:rsid w:val="5CACDD94"/>
    <w:rsid w:val="5CBF3218"/>
    <w:rsid w:val="5CCD2F66"/>
    <w:rsid w:val="5CF71EB0"/>
    <w:rsid w:val="5CFE0034"/>
    <w:rsid w:val="5D16772F"/>
    <w:rsid w:val="5D2C42B6"/>
    <w:rsid w:val="5D3B12BB"/>
    <w:rsid w:val="5D4E247E"/>
    <w:rsid w:val="5D731EE5"/>
    <w:rsid w:val="5D7ACBA7"/>
    <w:rsid w:val="5DA87DE0"/>
    <w:rsid w:val="5DBF2FEC"/>
    <w:rsid w:val="5DE23FFC"/>
    <w:rsid w:val="5DEFB7C4"/>
    <w:rsid w:val="5E3446DE"/>
    <w:rsid w:val="5E35BBE4"/>
    <w:rsid w:val="5E4708DF"/>
    <w:rsid w:val="5E584D40"/>
    <w:rsid w:val="5E5C7006"/>
    <w:rsid w:val="5E5D506F"/>
    <w:rsid w:val="5E686744"/>
    <w:rsid w:val="5E931154"/>
    <w:rsid w:val="5E95C1E4"/>
    <w:rsid w:val="5E9BDF5F"/>
    <w:rsid w:val="5EAA7D4C"/>
    <w:rsid w:val="5EBF6A40"/>
    <w:rsid w:val="5EE758B1"/>
    <w:rsid w:val="5EEA1236"/>
    <w:rsid w:val="5EEBAA8F"/>
    <w:rsid w:val="5EFB7C17"/>
    <w:rsid w:val="5EFCB6F8"/>
    <w:rsid w:val="5EFF6644"/>
    <w:rsid w:val="5EFFE469"/>
    <w:rsid w:val="5F103678"/>
    <w:rsid w:val="5F1710E4"/>
    <w:rsid w:val="5F17346F"/>
    <w:rsid w:val="5F334021"/>
    <w:rsid w:val="5F3F5456"/>
    <w:rsid w:val="5F72C33E"/>
    <w:rsid w:val="5F75EECD"/>
    <w:rsid w:val="5F7F69CC"/>
    <w:rsid w:val="5F9C1BB3"/>
    <w:rsid w:val="5FBDF4CB"/>
    <w:rsid w:val="5FBF2BBC"/>
    <w:rsid w:val="5FC64CF6"/>
    <w:rsid w:val="5FDB6EFC"/>
    <w:rsid w:val="5FDF6170"/>
    <w:rsid w:val="5FDF7754"/>
    <w:rsid w:val="5FEF1AEF"/>
    <w:rsid w:val="5FEF6B33"/>
    <w:rsid w:val="5FF2690B"/>
    <w:rsid w:val="5FF93D5A"/>
    <w:rsid w:val="5FF96C8C"/>
    <w:rsid w:val="5FF9A343"/>
    <w:rsid w:val="5FFB31E4"/>
    <w:rsid w:val="5FFB6453"/>
    <w:rsid w:val="5FFC11AC"/>
    <w:rsid w:val="5FFD0303"/>
    <w:rsid w:val="5FFDE78E"/>
    <w:rsid w:val="5FFF497D"/>
    <w:rsid w:val="5FFF5A24"/>
    <w:rsid w:val="5FFF8B7C"/>
    <w:rsid w:val="5FFF93FA"/>
    <w:rsid w:val="603E4A2C"/>
    <w:rsid w:val="606D0101"/>
    <w:rsid w:val="608458CF"/>
    <w:rsid w:val="608B350E"/>
    <w:rsid w:val="60964473"/>
    <w:rsid w:val="60AC49B3"/>
    <w:rsid w:val="60F64471"/>
    <w:rsid w:val="61453812"/>
    <w:rsid w:val="61695AD8"/>
    <w:rsid w:val="61716CB6"/>
    <w:rsid w:val="61805C80"/>
    <w:rsid w:val="618741B1"/>
    <w:rsid w:val="619805BF"/>
    <w:rsid w:val="61A8639A"/>
    <w:rsid w:val="61B86548"/>
    <w:rsid w:val="61CE1596"/>
    <w:rsid w:val="61F47A98"/>
    <w:rsid w:val="622F5C27"/>
    <w:rsid w:val="624C78D4"/>
    <w:rsid w:val="62B86D17"/>
    <w:rsid w:val="62BD0F5C"/>
    <w:rsid w:val="62D90A3C"/>
    <w:rsid w:val="62E95123"/>
    <w:rsid w:val="62EC448F"/>
    <w:rsid w:val="635A4D42"/>
    <w:rsid w:val="635ED194"/>
    <w:rsid w:val="63920501"/>
    <w:rsid w:val="639257BA"/>
    <w:rsid w:val="639E4CE8"/>
    <w:rsid w:val="63B3128D"/>
    <w:rsid w:val="63D064BE"/>
    <w:rsid w:val="63E96D0F"/>
    <w:rsid w:val="641D1B75"/>
    <w:rsid w:val="643028DD"/>
    <w:rsid w:val="64326656"/>
    <w:rsid w:val="64422D1C"/>
    <w:rsid w:val="6454512F"/>
    <w:rsid w:val="64777168"/>
    <w:rsid w:val="64AC3004"/>
    <w:rsid w:val="64BC23C3"/>
    <w:rsid w:val="64F6176B"/>
    <w:rsid w:val="651F9D5D"/>
    <w:rsid w:val="65262C3E"/>
    <w:rsid w:val="657D1B52"/>
    <w:rsid w:val="65BFDB4C"/>
    <w:rsid w:val="65D26342"/>
    <w:rsid w:val="65FF4DE3"/>
    <w:rsid w:val="66410DD2"/>
    <w:rsid w:val="66630D48"/>
    <w:rsid w:val="667F03D9"/>
    <w:rsid w:val="66837CEC"/>
    <w:rsid w:val="66967370"/>
    <w:rsid w:val="66B45A48"/>
    <w:rsid w:val="66CA47B7"/>
    <w:rsid w:val="66CDCEE8"/>
    <w:rsid w:val="66DEAB98"/>
    <w:rsid w:val="66F06B59"/>
    <w:rsid w:val="66F6433F"/>
    <w:rsid w:val="66FBC751"/>
    <w:rsid w:val="66FF3502"/>
    <w:rsid w:val="670C0300"/>
    <w:rsid w:val="6716400D"/>
    <w:rsid w:val="674131A8"/>
    <w:rsid w:val="67533D9C"/>
    <w:rsid w:val="677DDE79"/>
    <w:rsid w:val="677FFDD8"/>
    <w:rsid w:val="67804344"/>
    <w:rsid w:val="679D4253"/>
    <w:rsid w:val="67BF5433"/>
    <w:rsid w:val="67BFEE14"/>
    <w:rsid w:val="67E32F69"/>
    <w:rsid w:val="67F81964"/>
    <w:rsid w:val="67FF6FB6"/>
    <w:rsid w:val="67FFB09F"/>
    <w:rsid w:val="680B78E9"/>
    <w:rsid w:val="681517AC"/>
    <w:rsid w:val="68255BF7"/>
    <w:rsid w:val="68534DEC"/>
    <w:rsid w:val="686EC541"/>
    <w:rsid w:val="689E5732"/>
    <w:rsid w:val="68DC1286"/>
    <w:rsid w:val="68E35CD4"/>
    <w:rsid w:val="68EB0ED6"/>
    <w:rsid w:val="691358FC"/>
    <w:rsid w:val="694B1E77"/>
    <w:rsid w:val="695336E0"/>
    <w:rsid w:val="6954706E"/>
    <w:rsid w:val="69562DE6"/>
    <w:rsid w:val="69675991"/>
    <w:rsid w:val="699218B2"/>
    <w:rsid w:val="69CB20DE"/>
    <w:rsid w:val="69F3A010"/>
    <w:rsid w:val="69F55085"/>
    <w:rsid w:val="69F71F4D"/>
    <w:rsid w:val="69F87ED1"/>
    <w:rsid w:val="6A301A0E"/>
    <w:rsid w:val="6A38073E"/>
    <w:rsid w:val="6A433642"/>
    <w:rsid w:val="6A7E6974"/>
    <w:rsid w:val="6A90057A"/>
    <w:rsid w:val="6A99742E"/>
    <w:rsid w:val="6AB8544A"/>
    <w:rsid w:val="6AC7528B"/>
    <w:rsid w:val="6ADA35A3"/>
    <w:rsid w:val="6AF1696E"/>
    <w:rsid w:val="6AF6A4F8"/>
    <w:rsid w:val="6AF76665"/>
    <w:rsid w:val="6AFD7D57"/>
    <w:rsid w:val="6AFF700F"/>
    <w:rsid w:val="6B144D07"/>
    <w:rsid w:val="6B841CA8"/>
    <w:rsid w:val="6B9F54F2"/>
    <w:rsid w:val="6BBB6599"/>
    <w:rsid w:val="6BCC55E2"/>
    <w:rsid w:val="6BEE18AD"/>
    <w:rsid w:val="6BF61059"/>
    <w:rsid w:val="6BFFBAF5"/>
    <w:rsid w:val="6C5F1FB2"/>
    <w:rsid w:val="6C6D4220"/>
    <w:rsid w:val="6C9BE216"/>
    <w:rsid w:val="6CF7B381"/>
    <w:rsid w:val="6D0668D1"/>
    <w:rsid w:val="6D0D97D5"/>
    <w:rsid w:val="6D526FBD"/>
    <w:rsid w:val="6D633D24"/>
    <w:rsid w:val="6D69F4BB"/>
    <w:rsid w:val="6D6F34FA"/>
    <w:rsid w:val="6D7FB4D9"/>
    <w:rsid w:val="6D9914F3"/>
    <w:rsid w:val="6DB0415E"/>
    <w:rsid w:val="6DC226C7"/>
    <w:rsid w:val="6DEF24D6"/>
    <w:rsid w:val="6E2039C3"/>
    <w:rsid w:val="6E2FC815"/>
    <w:rsid w:val="6E3F7EC1"/>
    <w:rsid w:val="6E4315FF"/>
    <w:rsid w:val="6E9C129B"/>
    <w:rsid w:val="6EBFEF53"/>
    <w:rsid w:val="6EC16F54"/>
    <w:rsid w:val="6EDC5B3C"/>
    <w:rsid w:val="6EE73D7F"/>
    <w:rsid w:val="6EF84960"/>
    <w:rsid w:val="6EFB6E28"/>
    <w:rsid w:val="6EFCF537"/>
    <w:rsid w:val="6EFDC650"/>
    <w:rsid w:val="6EFEE655"/>
    <w:rsid w:val="6EFFA954"/>
    <w:rsid w:val="6F2BB70B"/>
    <w:rsid w:val="6F3FE61C"/>
    <w:rsid w:val="6F5D2A22"/>
    <w:rsid w:val="6F647D5C"/>
    <w:rsid w:val="6F675036"/>
    <w:rsid w:val="6F7B4541"/>
    <w:rsid w:val="6F912DCA"/>
    <w:rsid w:val="6FA5414E"/>
    <w:rsid w:val="6FB43F5A"/>
    <w:rsid w:val="6FB70316"/>
    <w:rsid w:val="6FC79576"/>
    <w:rsid w:val="6FCEC8BA"/>
    <w:rsid w:val="6FDB95B7"/>
    <w:rsid w:val="6FDCC6E8"/>
    <w:rsid w:val="6FDCCACC"/>
    <w:rsid w:val="6FE50B78"/>
    <w:rsid w:val="6FE67B6B"/>
    <w:rsid w:val="6FEEDC05"/>
    <w:rsid w:val="6FF78971"/>
    <w:rsid w:val="6FF7CEFD"/>
    <w:rsid w:val="6FF7FA2B"/>
    <w:rsid w:val="6FFB4492"/>
    <w:rsid w:val="6FFD1A07"/>
    <w:rsid w:val="6FFE61CE"/>
    <w:rsid w:val="6FFE66C4"/>
    <w:rsid w:val="7009666C"/>
    <w:rsid w:val="7019285F"/>
    <w:rsid w:val="704E2A69"/>
    <w:rsid w:val="708A05F4"/>
    <w:rsid w:val="708F762A"/>
    <w:rsid w:val="70917FFB"/>
    <w:rsid w:val="709A3502"/>
    <w:rsid w:val="70AE52B6"/>
    <w:rsid w:val="70DB6E6A"/>
    <w:rsid w:val="70DE54AE"/>
    <w:rsid w:val="70F76C5D"/>
    <w:rsid w:val="71221F08"/>
    <w:rsid w:val="71313B0F"/>
    <w:rsid w:val="71458202"/>
    <w:rsid w:val="716C1FEE"/>
    <w:rsid w:val="71B1187E"/>
    <w:rsid w:val="71EA6B36"/>
    <w:rsid w:val="71F92EA9"/>
    <w:rsid w:val="71FF491B"/>
    <w:rsid w:val="72356EE7"/>
    <w:rsid w:val="724D4AB4"/>
    <w:rsid w:val="725D9DC7"/>
    <w:rsid w:val="725F5955"/>
    <w:rsid w:val="72760341"/>
    <w:rsid w:val="727D13E4"/>
    <w:rsid w:val="72DDED6C"/>
    <w:rsid w:val="72DF3E4C"/>
    <w:rsid w:val="72E26EB9"/>
    <w:rsid w:val="72FFBB7B"/>
    <w:rsid w:val="731CE852"/>
    <w:rsid w:val="735BD7F3"/>
    <w:rsid w:val="736DF94F"/>
    <w:rsid w:val="73797DFD"/>
    <w:rsid w:val="737F97EB"/>
    <w:rsid w:val="73BA353C"/>
    <w:rsid w:val="73CB1AEB"/>
    <w:rsid w:val="73CC1B31"/>
    <w:rsid w:val="740420B1"/>
    <w:rsid w:val="741C4C2C"/>
    <w:rsid w:val="74301E14"/>
    <w:rsid w:val="744B09D2"/>
    <w:rsid w:val="7455CAC2"/>
    <w:rsid w:val="748E5DAB"/>
    <w:rsid w:val="74BD46EB"/>
    <w:rsid w:val="74BFC7C6"/>
    <w:rsid w:val="74CE4F4D"/>
    <w:rsid w:val="74E3D727"/>
    <w:rsid w:val="74E43C4E"/>
    <w:rsid w:val="74EF0F05"/>
    <w:rsid w:val="74FF1737"/>
    <w:rsid w:val="74FF2584"/>
    <w:rsid w:val="75099E48"/>
    <w:rsid w:val="755553B0"/>
    <w:rsid w:val="756E5149"/>
    <w:rsid w:val="75A95106"/>
    <w:rsid w:val="75AA2DD0"/>
    <w:rsid w:val="75AF3984"/>
    <w:rsid w:val="75DF4117"/>
    <w:rsid w:val="75EFCF30"/>
    <w:rsid w:val="75FBE9EE"/>
    <w:rsid w:val="76200A04"/>
    <w:rsid w:val="763D8312"/>
    <w:rsid w:val="76773034"/>
    <w:rsid w:val="7685A214"/>
    <w:rsid w:val="76DF1C61"/>
    <w:rsid w:val="76EF78C4"/>
    <w:rsid w:val="76F06AC9"/>
    <w:rsid w:val="76F5CA1F"/>
    <w:rsid w:val="7725204A"/>
    <w:rsid w:val="77291B3A"/>
    <w:rsid w:val="774A2407"/>
    <w:rsid w:val="774A6AEF"/>
    <w:rsid w:val="775F2C8F"/>
    <w:rsid w:val="776D6213"/>
    <w:rsid w:val="77707769"/>
    <w:rsid w:val="77762F5D"/>
    <w:rsid w:val="777A02E3"/>
    <w:rsid w:val="777DDDB4"/>
    <w:rsid w:val="777E9E8E"/>
    <w:rsid w:val="7794821E"/>
    <w:rsid w:val="779F75A8"/>
    <w:rsid w:val="77B738D3"/>
    <w:rsid w:val="77BA57C2"/>
    <w:rsid w:val="77BDDDC6"/>
    <w:rsid w:val="77BF8371"/>
    <w:rsid w:val="77BF86DF"/>
    <w:rsid w:val="77CAA099"/>
    <w:rsid w:val="77CC3A38"/>
    <w:rsid w:val="77DB00F8"/>
    <w:rsid w:val="77DB0BCA"/>
    <w:rsid w:val="77DCBD86"/>
    <w:rsid w:val="77E5D92A"/>
    <w:rsid w:val="77ECD40E"/>
    <w:rsid w:val="77EE0993"/>
    <w:rsid w:val="77EF74CA"/>
    <w:rsid w:val="77EFCB5A"/>
    <w:rsid w:val="77F02CCA"/>
    <w:rsid w:val="77F498E1"/>
    <w:rsid w:val="77F554CE"/>
    <w:rsid w:val="77F63DC0"/>
    <w:rsid w:val="77F795C7"/>
    <w:rsid w:val="77FA3003"/>
    <w:rsid w:val="77FBC200"/>
    <w:rsid w:val="77FD5096"/>
    <w:rsid w:val="77FE495B"/>
    <w:rsid w:val="77FF7745"/>
    <w:rsid w:val="77FFB96E"/>
    <w:rsid w:val="7815123B"/>
    <w:rsid w:val="783D6E45"/>
    <w:rsid w:val="7868205B"/>
    <w:rsid w:val="78767045"/>
    <w:rsid w:val="787BEF5C"/>
    <w:rsid w:val="78802B40"/>
    <w:rsid w:val="789254BD"/>
    <w:rsid w:val="78993F99"/>
    <w:rsid w:val="78996425"/>
    <w:rsid w:val="78A82F32"/>
    <w:rsid w:val="78B0681C"/>
    <w:rsid w:val="78D381E6"/>
    <w:rsid w:val="78D7A132"/>
    <w:rsid w:val="78EBD9E5"/>
    <w:rsid w:val="78F0BF5C"/>
    <w:rsid w:val="78F88FDB"/>
    <w:rsid w:val="79162CD5"/>
    <w:rsid w:val="79231CC3"/>
    <w:rsid w:val="79257C48"/>
    <w:rsid w:val="795F777C"/>
    <w:rsid w:val="79651917"/>
    <w:rsid w:val="797C004D"/>
    <w:rsid w:val="79A87C16"/>
    <w:rsid w:val="79BD1EED"/>
    <w:rsid w:val="79C32A6B"/>
    <w:rsid w:val="79DFA112"/>
    <w:rsid w:val="79E5F4A1"/>
    <w:rsid w:val="79EA2E23"/>
    <w:rsid w:val="79EE2BC7"/>
    <w:rsid w:val="79EFD3D1"/>
    <w:rsid w:val="79F65765"/>
    <w:rsid w:val="79F70503"/>
    <w:rsid w:val="79FA14A0"/>
    <w:rsid w:val="79FF66F2"/>
    <w:rsid w:val="7A1B3DAA"/>
    <w:rsid w:val="7A3430B8"/>
    <w:rsid w:val="7A3548F3"/>
    <w:rsid w:val="7A4305CE"/>
    <w:rsid w:val="7A481006"/>
    <w:rsid w:val="7A591498"/>
    <w:rsid w:val="7A66319F"/>
    <w:rsid w:val="7A76B7CD"/>
    <w:rsid w:val="7A9AA72D"/>
    <w:rsid w:val="7A9F6A1A"/>
    <w:rsid w:val="7AA0774F"/>
    <w:rsid w:val="7ABC017D"/>
    <w:rsid w:val="7ABF7401"/>
    <w:rsid w:val="7ACAAAC8"/>
    <w:rsid w:val="7ADBAF6D"/>
    <w:rsid w:val="7AEF07AF"/>
    <w:rsid w:val="7AFDB83A"/>
    <w:rsid w:val="7B0EA8A7"/>
    <w:rsid w:val="7B2A4052"/>
    <w:rsid w:val="7B55612D"/>
    <w:rsid w:val="7B5A5CA6"/>
    <w:rsid w:val="7B5D61A7"/>
    <w:rsid w:val="7B764694"/>
    <w:rsid w:val="7B79BD7E"/>
    <w:rsid w:val="7B7B492E"/>
    <w:rsid w:val="7B7F5432"/>
    <w:rsid w:val="7B8F7E66"/>
    <w:rsid w:val="7B903009"/>
    <w:rsid w:val="7B903A20"/>
    <w:rsid w:val="7B9F8F85"/>
    <w:rsid w:val="7BAB1190"/>
    <w:rsid w:val="7BC589B2"/>
    <w:rsid w:val="7BC75CD9"/>
    <w:rsid w:val="7BCE10A2"/>
    <w:rsid w:val="7BCF0EA8"/>
    <w:rsid w:val="7BDBD130"/>
    <w:rsid w:val="7BDC3D6B"/>
    <w:rsid w:val="7BDCFFB5"/>
    <w:rsid w:val="7BDE04EB"/>
    <w:rsid w:val="7BDE5293"/>
    <w:rsid w:val="7BE32CAF"/>
    <w:rsid w:val="7BE69438"/>
    <w:rsid w:val="7BE8F0DB"/>
    <w:rsid w:val="7BEF5B94"/>
    <w:rsid w:val="7BF57FDF"/>
    <w:rsid w:val="7BF5D528"/>
    <w:rsid w:val="7BF77097"/>
    <w:rsid w:val="7BF7BFFF"/>
    <w:rsid w:val="7BFD108F"/>
    <w:rsid w:val="7BFF5262"/>
    <w:rsid w:val="7BFFC8E2"/>
    <w:rsid w:val="7C0D1A2A"/>
    <w:rsid w:val="7C15268D"/>
    <w:rsid w:val="7C1D7962"/>
    <w:rsid w:val="7C30396B"/>
    <w:rsid w:val="7C6E05ED"/>
    <w:rsid w:val="7C7FED6E"/>
    <w:rsid w:val="7C872B3C"/>
    <w:rsid w:val="7CA00A37"/>
    <w:rsid w:val="7CBF3F1E"/>
    <w:rsid w:val="7CDF1C73"/>
    <w:rsid w:val="7CF74B05"/>
    <w:rsid w:val="7CFD1B28"/>
    <w:rsid w:val="7CFF7BB9"/>
    <w:rsid w:val="7D0428EB"/>
    <w:rsid w:val="7D2712CE"/>
    <w:rsid w:val="7D340B42"/>
    <w:rsid w:val="7D376633"/>
    <w:rsid w:val="7D5DF645"/>
    <w:rsid w:val="7D7B7EBB"/>
    <w:rsid w:val="7D7F00B4"/>
    <w:rsid w:val="7DAA5057"/>
    <w:rsid w:val="7DB44973"/>
    <w:rsid w:val="7DBCD7AC"/>
    <w:rsid w:val="7DBF0E39"/>
    <w:rsid w:val="7DBFABB3"/>
    <w:rsid w:val="7DCFDCBF"/>
    <w:rsid w:val="7DD2E080"/>
    <w:rsid w:val="7DDB24ED"/>
    <w:rsid w:val="7DDB5EF2"/>
    <w:rsid w:val="7DDDB90E"/>
    <w:rsid w:val="7DDDE3F5"/>
    <w:rsid w:val="7DDF3B0E"/>
    <w:rsid w:val="7DDFC8F3"/>
    <w:rsid w:val="7DDFCBDF"/>
    <w:rsid w:val="7DDFE262"/>
    <w:rsid w:val="7DF33EF8"/>
    <w:rsid w:val="7DF58CDD"/>
    <w:rsid w:val="7DFB1740"/>
    <w:rsid w:val="7DFB9D4B"/>
    <w:rsid w:val="7DFDFB64"/>
    <w:rsid w:val="7DFEA6AA"/>
    <w:rsid w:val="7DFF067B"/>
    <w:rsid w:val="7DFF0E4B"/>
    <w:rsid w:val="7DFF444F"/>
    <w:rsid w:val="7E0373A5"/>
    <w:rsid w:val="7E0C2EB0"/>
    <w:rsid w:val="7E33220E"/>
    <w:rsid w:val="7E3661DA"/>
    <w:rsid w:val="7E3F5AFB"/>
    <w:rsid w:val="7E4DC6FC"/>
    <w:rsid w:val="7E5AFBD8"/>
    <w:rsid w:val="7E6DFF79"/>
    <w:rsid w:val="7E6E026A"/>
    <w:rsid w:val="7E6FB9DA"/>
    <w:rsid w:val="7E7B91A5"/>
    <w:rsid w:val="7E7BD6F9"/>
    <w:rsid w:val="7E7FA8E2"/>
    <w:rsid w:val="7E87AD89"/>
    <w:rsid w:val="7E8D77A2"/>
    <w:rsid w:val="7E926217"/>
    <w:rsid w:val="7E9A62F1"/>
    <w:rsid w:val="7E9F053D"/>
    <w:rsid w:val="7EAA770A"/>
    <w:rsid w:val="7EAE1FA7"/>
    <w:rsid w:val="7EB9646B"/>
    <w:rsid w:val="7EB9BBEE"/>
    <w:rsid w:val="7EBF3843"/>
    <w:rsid w:val="7EBFAB06"/>
    <w:rsid w:val="7ECB47AF"/>
    <w:rsid w:val="7EE3619B"/>
    <w:rsid w:val="7EE7177D"/>
    <w:rsid w:val="7EF63785"/>
    <w:rsid w:val="7EF94BB4"/>
    <w:rsid w:val="7EFAA17B"/>
    <w:rsid w:val="7EFD7707"/>
    <w:rsid w:val="7EFED55D"/>
    <w:rsid w:val="7EFF74B3"/>
    <w:rsid w:val="7EFF7D8E"/>
    <w:rsid w:val="7EFFFAF2"/>
    <w:rsid w:val="7F0A3FFF"/>
    <w:rsid w:val="7F15E884"/>
    <w:rsid w:val="7F1DCE78"/>
    <w:rsid w:val="7F2F02E6"/>
    <w:rsid w:val="7F37830A"/>
    <w:rsid w:val="7F378F3B"/>
    <w:rsid w:val="7F3A003B"/>
    <w:rsid w:val="7F3AF8A3"/>
    <w:rsid w:val="7F3FF482"/>
    <w:rsid w:val="7F4E4441"/>
    <w:rsid w:val="7F5FB1A4"/>
    <w:rsid w:val="7F6B1534"/>
    <w:rsid w:val="7F71407E"/>
    <w:rsid w:val="7F73B300"/>
    <w:rsid w:val="7F792946"/>
    <w:rsid w:val="7F79715A"/>
    <w:rsid w:val="7F79C203"/>
    <w:rsid w:val="7F7A8F2E"/>
    <w:rsid w:val="7F7A9AEC"/>
    <w:rsid w:val="7F7D0917"/>
    <w:rsid w:val="7F7E7F28"/>
    <w:rsid w:val="7F7F02A1"/>
    <w:rsid w:val="7F7F41C3"/>
    <w:rsid w:val="7F7F8F95"/>
    <w:rsid w:val="7F8AE8E8"/>
    <w:rsid w:val="7F8B4680"/>
    <w:rsid w:val="7F8F80C4"/>
    <w:rsid w:val="7F914720"/>
    <w:rsid w:val="7F93E9AE"/>
    <w:rsid w:val="7FB6F093"/>
    <w:rsid w:val="7FBF4C01"/>
    <w:rsid w:val="7FBF4D06"/>
    <w:rsid w:val="7FBFA669"/>
    <w:rsid w:val="7FCB93F3"/>
    <w:rsid w:val="7FD54F54"/>
    <w:rsid w:val="7FD6C689"/>
    <w:rsid w:val="7FD6D74D"/>
    <w:rsid w:val="7FD9E3FE"/>
    <w:rsid w:val="7FDADF3D"/>
    <w:rsid w:val="7FDB30C6"/>
    <w:rsid w:val="7FDD9E85"/>
    <w:rsid w:val="7FDF3AFA"/>
    <w:rsid w:val="7FDF3CE0"/>
    <w:rsid w:val="7FDF61A1"/>
    <w:rsid w:val="7FDFA2AE"/>
    <w:rsid w:val="7FDFBEB3"/>
    <w:rsid w:val="7FE23A54"/>
    <w:rsid w:val="7FE4B422"/>
    <w:rsid w:val="7FE62B03"/>
    <w:rsid w:val="7FE982FA"/>
    <w:rsid w:val="7FECC1BF"/>
    <w:rsid w:val="7FEEEF34"/>
    <w:rsid w:val="7FEF92D6"/>
    <w:rsid w:val="7FEFB74B"/>
    <w:rsid w:val="7FF49591"/>
    <w:rsid w:val="7FF4AF4C"/>
    <w:rsid w:val="7FF62846"/>
    <w:rsid w:val="7FF96E19"/>
    <w:rsid w:val="7FF9CE33"/>
    <w:rsid w:val="7FFACE3E"/>
    <w:rsid w:val="7FFB54CC"/>
    <w:rsid w:val="7FFB6CD8"/>
    <w:rsid w:val="7FFB9F99"/>
    <w:rsid w:val="7FFC713C"/>
    <w:rsid w:val="7FFCA04F"/>
    <w:rsid w:val="7FFD059C"/>
    <w:rsid w:val="7FFD11A6"/>
    <w:rsid w:val="7FFEADFB"/>
    <w:rsid w:val="7FFF1688"/>
    <w:rsid w:val="7FFF209B"/>
    <w:rsid w:val="7FFF96E1"/>
    <w:rsid w:val="7FFFB2EE"/>
    <w:rsid w:val="7FFFB7CC"/>
    <w:rsid w:val="7FFFCC96"/>
    <w:rsid w:val="7FFFE532"/>
    <w:rsid w:val="7FFFE70F"/>
    <w:rsid w:val="7FFFF1FA"/>
    <w:rsid w:val="86E7FEB7"/>
    <w:rsid w:val="878D9529"/>
    <w:rsid w:val="87EBCE6C"/>
    <w:rsid w:val="87FFF6B3"/>
    <w:rsid w:val="8D3403B2"/>
    <w:rsid w:val="8FBA6BEB"/>
    <w:rsid w:val="8FC77FB6"/>
    <w:rsid w:val="8FC9E28A"/>
    <w:rsid w:val="8FFFBA57"/>
    <w:rsid w:val="92BC1806"/>
    <w:rsid w:val="93FBEC63"/>
    <w:rsid w:val="95BF103C"/>
    <w:rsid w:val="95EF80FB"/>
    <w:rsid w:val="99FAC16A"/>
    <w:rsid w:val="9A67CD1B"/>
    <w:rsid w:val="9AFF30D4"/>
    <w:rsid w:val="9BEB4873"/>
    <w:rsid w:val="9BF42EF3"/>
    <w:rsid w:val="9BF73A98"/>
    <w:rsid w:val="9BFE8822"/>
    <w:rsid w:val="9CFE8F53"/>
    <w:rsid w:val="9DA7A18F"/>
    <w:rsid w:val="9DBFF5FB"/>
    <w:rsid w:val="9DCA7901"/>
    <w:rsid w:val="9F3F4C39"/>
    <w:rsid w:val="9F73887F"/>
    <w:rsid w:val="9F7B7FE3"/>
    <w:rsid w:val="9FBBA85E"/>
    <w:rsid w:val="9FDB280F"/>
    <w:rsid w:val="9FFA509F"/>
    <w:rsid w:val="A277090E"/>
    <w:rsid w:val="A3DFB2BB"/>
    <w:rsid w:val="A5B74611"/>
    <w:rsid w:val="A5DD88F3"/>
    <w:rsid w:val="A77D68AA"/>
    <w:rsid w:val="A7FD2A0E"/>
    <w:rsid w:val="A9F2E196"/>
    <w:rsid w:val="AAB6F19C"/>
    <w:rsid w:val="AAE72C87"/>
    <w:rsid w:val="AAFBAA8A"/>
    <w:rsid w:val="AB6FDFC9"/>
    <w:rsid w:val="AB7E221B"/>
    <w:rsid w:val="ACFF952F"/>
    <w:rsid w:val="AD7B2265"/>
    <w:rsid w:val="AF25D6E9"/>
    <w:rsid w:val="AF674653"/>
    <w:rsid w:val="AF7653F9"/>
    <w:rsid w:val="AF9F2125"/>
    <w:rsid w:val="AF9FB05C"/>
    <w:rsid w:val="AFE7BA1C"/>
    <w:rsid w:val="AFE90599"/>
    <w:rsid w:val="AFFEC885"/>
    <w:rsid w:val="B0EFC19E"/>
    <w:rsid w:val="B2DB996A"/>
    <w:rsid w:val="B3D81FBB"/>
    <w:rsid w:val="B3FFD94D"/>
    <w:rsid w:val="B455CBB2"/>
    <w:rsid w:val="B5DEE889"/>
    <w:rsid w:val="B5FC737E"/>
    <w:rsid w:val="B66D167B"/>
    <w:rsid w:val="B6C99AF9"/>
    <w:rsid w:val="B7665E38"/>
    <w:rsid w:val="B7FFF49E"/>
    <w:rsid w:val="B8F12857"/>
    <w:rsid w:val="B8FFB27D"/>
    <w:rsid w:val="B8FFF832"/>
    <w:rsid w:val="B95FC9F8"/>
    <w:rsid w:val="B9BE6AE3"/>
    <w:rsid w:val="B9EE52FB"/>
    <w:rsid w:val="BABE57CF"/>
    <w:rsid w:val="BAEE49EA"/>
    <w:rsid w:val="BAFF8CD9"/>
    <w:rsid w:val="BB2FABF3"/>
    <w:rsid w:val="BB3DBBA5"/>
    <w:rsid w:val="BB3FE085"/>
    <w:rsid w:val="BBBCCFEB"/>
    <w:rsid w:val="BBDFC1A5"/>
    <w:rsid w:val="BBFD0B2D"/>
    <w:rsid w:val="BBFF342C"/>
    <w:rsid w:val="BC3F986A"/>
    <w:rsid w:val="BCDFE906"/>
    <w:rsid w:val="BD2A085E"/>
    <w:rsid w:val="BD6F6566"/>
    <w:rsid w:val="BD773813"/>
    <w:rsid w:val="BD8A9C48"/>
    <w:rsid w:val="BDC3C888"/>
    <w:rsid w:val="BDDB075E"/>
    <w:rsid w:val="BDDF0097"/>
    <w:rsid w:val="BDF7920C"/>
    <w:rsid w:val="BDFB29AD"/>
    <w:rsid w:val="BE1B4DED"/>
    <w:rsid w:val="BE3F51F8"/>
    <w:rsid w:val="BE6E2386"/>
    <w:rsid w:val="BEB78744"/>
    <w:rsid w:val="BEBF16BE"/>
    <w:rsid w:val="BEBFAA65"/>
    <w:rsid w:val="BED3F39E"/>
    <w:rsid w:val="BEE71B0D"/>
    <w:rsid w:val="BEF51399"/>
    <w:rsid w:val="BEF64D65"/>
    <w:rsid w:val="BEFD6A01"/>
    <w:rsid w:val="BEFF7373"/>
    <w:rsid w:val="BF31135B"/>
    <w:rsid w:val="BF4F6389"/>
    <w:rsid w:val="BF6FBD5B"/>
    <w:rsid w:val="BF7716B6"/>
    <w:rsid w:val="BF7F1869"/>
    <w:rsid w:val="BF95710E"/>
    <w:rsid w:val="BFBDF801"/>
    <w:rsid w:val="BFBF71C7"/>
    <w:rsid w:val="BFC6C754"/>
    <w:rsid w:val="BFD7A6C3"/>
    <w:rsid w:val="BFDB8B1C"/>
    <w:rsid w:val="BFDDD7D2"/>
    <w:rsid w:val="BFDE59EC"/>
    <w:rsid w:val="BFDEBFE7"/>
    <w:rsid w:val="BFEC11D3"/>
    <w:rsid w:val="BFEFF906"/>
    <w:rsid w:val="BFFD0F17"/>
    <w:rsid w:val="BFFDDCB0"/>
    <w:rsid w:val="BFFF9FB5"/>
    <w:rsid w:val="BFFFB266"/>
    <w:rsid w:val="BFFFDF0E"/>
    <w:rsid w:val="C3BE1D8E"/>
    <w:rsid w:val="C3FDBAAE"/>
    <w:rsid w:val="C4BDB3C9"/>
    <w:rsid w:val="C77B72D9"/>
    <w:rsid w:val="C77F0725"/>
    <w:rsid w:val="C7B33607"/>
    <w:rsid w:val="C7B5AA20"/>
    <w:rsid w:val="C7BAB40B"/>
    <w:rsid w:val="C8DF4317"/>
    <w:rsid w:val="C9F6B9A2"/>
    <w:rsid w:val="CAB23D43"/>
    <w:rsid w:val="CBB1B106"/>
    <w:rsid w:val="CBBE84C1"/>
    <w:rsid w:val="CEDBC14D"/>
    <w:rsid w:val="CEEF39B5"/>
    <w:rsid w:val="CEFB7764"/>
    <w:rsid w:val="CEFE8C53"/>
    <w:rsid w:val="CF77ACFB"/>
    <w:rsid w:val="CF7F16BE"/>
    <w:rsid w:val="CF7FE8B4"/>
    <w:rsid w:val="CFBFC583"/>
    <w:rsid w:val="CFCD41F6"/>
    <w:rsid w:val="CFEB7166"/>
    <w:rsid w:val="CFF3B832"/>
    <w:rsid w:val="CFFDA7A6"/>
    <w:rsid w:val="CFFFFDF8"/>
    <w:rsid w:val="D17FF81A"/>
    <w:rsid w:val="D19FCFF1"/>
    <w:rsid w:val="D2BDEE5C"/>
    <w:rsid w:val="D33F6125"/>
    <w:rsid w:val="D3FEBFC1"/>
    <w:rsid w:val="D6FFB8C7"/>
    <w:rsid w:val="D70361C8"/>
    <w:rsid w:val="D7343F3E"/>
    <w:rsid w:val="D763BD11"/>
    <w:rsid w:val="D77F320F"/>
    <w:rsid w:val="D77FA1B7"/>
    <w:rsid w:val="D7AFD75E"/>
    <w:rsid w:val="D7B7853C"/>
    <w:rsid w:val="D7D6533C"/>
    <w:rsid w:val="D7D71073"/>
    <w:rsid w:val="D7EF64C2"/>
    <w:rsid w:val="D7FA0C9C"/>
    <w:rsid w:val="D8DFE5AD"/>
    <w:rsid w:val="D9CFA0EC"/>
    <w:rsid w:val="D9FB4195"/>
    <w:rsid w:val="D9FEC156"/>
    <w:rsid w:val="DA798988"/>
    <w:rsid w:val="DA7E33B0"/>
    <w:rsid w:val="DAFB8D81"/>
    <w:rsid w:val="DAFF96F7"/>
    <w:rsid w:val="DB778BB5"/>
    <w:rsid w:val="DB77ABFE"/>
    <w:rsid w:val="DBEB6D27"/>
    <w:rsid w:val="DBFF3686"/>
    <w:rsid w:val="DCDCF43F"/>
    <w:rsid w:val="DD3DABFF"/>
    <w:rsid w:val="DD3E5F91"/>
    <w:rsid w:val="DD5B093B"/>
    <w:rsid w:val="DD7B98E9"/>
    <w:rsid w:val="DD7EE53E"/>
    <w:rsid w:val="DD879BA7"/>
    <w:rsid w:val="DDA55309"/>
    <w:rsid w:val="DDDF5350"/>
    <w:rsid w:val="DDDFB07B"/>
    <w:rsid w:val="DDE16A2E"/>
    <w:rsid w:val="DDF3DAB5"/>
    <w:rsid w:val="DDF3FF34"/>
    <w:rsid w:val="DDFE36D7"/>
    <w:rsid w:val="DDFEB207"/>
    <w:rsid w:val="DDFF20F8"/>
    <w:rsid w:val="DEB928B7"/>
    <w:rsid w:val="DEDF4408"/>
    <w:rsid w:val="DEE36B54"/>
    <w:rsid w:val="DEED9750"/>
    <w:rsid w:val="DEEFD40C"/>
    <w:rsid w:val="DEFF1FCF"/>
    <w:rsid w:val="DEFF6369"/>
    <w:rsid w:val="DEFFAF3A"/>
    <w:rsid w:val="DF1FC1B8"/>
    <w:rsid w:val="DF6D4412"/>
    <w:rsid w:val="DF7C7F65"/>
    <w:rsid w:val="DFBEFFE4"/>
    <w:rsid w:val="DFCED520"/>
    <w:rsid w:val="DFD95BD3"/>
    <w:rsid w:val="DFDCB16C"/>
    <w:rsid w:val="DFDD10BB"/>
    <w:rsid w:val="DFDF387C"/>
    <w:rsid w:val="DFDF84DD"/>
    <w:rsid w:val="DFE763F7"/>
    <w:rsid w:val="DFE89E51"/>
    <w:rsid w:val="DFF4E3A5"/>
    <w:rsid w:val="DFF6B3C1"/>
    <w:rsid w:val="DFFBC8C0"/>
    <w:rsid w:val="DFFE1FF1"/>
    <w:rsid w:val="DFFF4655"/>
    <w:rsid w:val="DFFFAB0D"/>
    <w:rsid w:val="DFFFAFD9"/>
    <w:rsid w:val="E2B57562"/>
    <w:rsid w:val="E2BB23D2"/>
    <w:rsid w:val="E2EF52D4"/>
    <w:rsid w:val="E3E3E839"/>
    <w:rsid w:val="E3FFFAD2"/>
    <w:rsid w:val="E51F6EC3"/>
    <w:rsid w:val="E5FF2F63"/>
    <w:rsid w:val="E5FF7DBC"/>
    <w:rsid w:val="E5FFE11D"/>
    <w:rsid w:val="E65F1E90"/>
    <w:rsid w:val="E679081A"/>
    <w:rsid w:val="E67A0B5B"/>
    <w:rsid w:val="E6F70636"/>
    <w:rsid w:val="E6FF6915"/>
    <w:rsid w:val="E7361421"/>
    <w:rsid w:val="E73F0098"/>
    <w:rsid w:val="E73F57AF"/>
    <w:rsid w:val="E77B5C75"/>
    <w:rsid w:val="E77F3077"/>
    <w:rsid w:val="E77F5E02"/>
    <w:rsid w:val="E7B3C981"/>
    <w:rsid w:val="E7D601A5"/>
    <w:rsid w:val="E7DCF9AB"/>
    <w:rsid w:val="E7FCFA39"/>
    <w:rsid w:val="E9FF87FA"/>
    <w:rsid w:val="E9FFAB9C"/>
    <w:rsid w:val="EA9A8E77"/>
    <w:rsid w:val="EABE6123"/>
    <w:rsid w:val="EB3F9FC6"/>
    <w:rsid w:val="EB71A6F2"/>
    <w:rsid w:val="EB9BC55D"/>
    <w:rsid w:val="EB9CF82B"/>
    <w:rsid w:val="EBAF72BC"/>
    <w:rsid w:val="EBBF8777"/>
    <w:rsid w:val="EBC6E39E"/>
    <w:rsid w:val="EBDA458F"/>
    <w:rsid w:val="EBEAB60A"/>
    <w:rsid w:val="EBF7E9B5"/>
    <w:rsid w:val="EBFDFCFD"/>
    <w:rsid w:val="EBFE2856"/>
    <w:rsid w:val="EBFF8C35"/>
    <w:rsid w:val="ECDFD46E"/>
    <w:rsid w:val="ECFDA5C9"/>
    <w:rsid w:val="EDFB6B00"/>
    <w:rsid w:val="EDFFE1E0"/>
    <w:rsid w:val="EE2F6753"/>
    <w:rsid w:val="EE5A94AD"/>
    <w:rsid w:val="EE6FDE66"/>
    <w:rsid w:val="EE7FA609"/>
    <w:rsid w:val="EE7FF85D"/>
    <w:rsid w:val="EEBBCCCC"/>
    <w:rsid w:val="EEDF7300"/>
    <w:rsid w:val="EEFF513C"/>
    <w:rsid w:val="EF1BAC24"/>
    <w:rsid w:val="EF1FDB71"/>
    <w:rsid w:val="EF3AD302"/>
    <w:rsid w:val="EF3FA882"/>
    <w:rsid w:val="EF7B95EE"/>
    <w:rsid w:val="EF7F5164"/>
    <w:rsid w:val="EF7F593E"/>
    <w:rsid w:val="EF7FBFD7"/>
    <w:rsid w:val="EF87666D"/>
    <w:rsid w:val="EFC302FF"/>
    <w:rsid w:val="EFDF0260"/>
    <w:rsid w:val="EFE71D97"/>
    <w:rsid w:val="EFE77363"/>
    <w:rsid w:val="EFEDD1D4"/>
    <w:rsid w:val="EFF5F50F"/>
    <w:rsid w:val="EFF6C0CE"/>
    <w:rsid w:val="EFF90C8F"/>
    <w:rsid w:val="EFFF1121"/>
    <w:rsid w:val="EFFF27E2"/>
    <w:rsid w:val="EFFF95B5"/>
    <w:rsid w:val="F27FDED4"/>
    <w:rsid w:val="F2E91F58"/>
    <w:rsid w:val="F2FF9642"/>
    <w:rsid w:val="F32C6903"/>
    <w:rsid w:val="F37DD6BD"/>
    <w:rsid w:val="F3AF2DB8"/>
    <w:rsid w:val="F3BEE6D5"/>
    <w:rsid w:val="F3EABCA3"/>
    <w:rsid w:val="F3ED0B81"/>
    <w:rsid w:val="F3ED0C65"/>
    <w:rsid w:val="F3F1D5F3"/>
    <w:rsid w:val="F3F285F0"/>
    <w:rsid w:val="F3F7A579"/>
    <w:rsid w:val="F3FE882F"/>
    <w:rsid w:val="F4B843D6"/>
    <w:rsid w:val="F4F311A3"/>
    <w:rsid w:val="F5A3E027"/>
    <w:rsid w:val="F5A74930"/>
    <w:rsid w:val="F5DF923E"/>
    <w:rsid w:val="F5F77BF8"/>
    <w:rsid w:val="F5F78199"/>
    <w:rsid w:val="F5FDB45A"/>
    <w:rsid w:val="F5FE08EB"/>
    <w:rsid w:val="F5FF914F"/>
    <w:rsid w:val="F5FFDEB3"/>
    <w:rsid w:val="F65DB61C"/>
    <w:rsid w:val="F677C7B7"/>
    <w:rsid w:val="F6B4E155"/>
    <w:rsid w:val="F6DC084E"/>
    <w:rsid w:val="F6DF1CBB"/>
    <w:rsid w:val="F6FB0F48"/>
    <w:rsid w:val="F6FD362F"/>
    <w:rsid w:val="F6FDBC33"/>
    <w:rsid w:val="F6FEBC90"/>
    <w:rsid w:val="F6FF2F65"/>
    <w:rsid w:val="F6FF78D6"/>
    <w:rsid w:val="F736DD83"/>
    <w:rsid w:val="F75F2514"/>
    <w:rsid w:val="F76BB370"/>
    <w:rsid w:val="F77D58E8"/>
    <w:rsid w:val="F77F1CFD"/>
    <w:rsid w:val="F77F6461"/>
    <w:rsid w:val="F79576D9"/>
    <w:rsid w:val="F7B053C1"/>
    <w:rsid w:val="F7BBDFDF"/>
    <w:rsid w:val="F7BD60E4"/>
    <w:rsid w:val="F7BE9AF4"/>
    <w:rsid w:val="F7BFBA94"/>
    <w:rsid w:val="F7D739AB"/>
    <w:rsid w:val="F7DD5BE0"/>
    <w:rsid w:val="F7DF573D"/>
    <w:rsid w:val="F7E71AE4"/>
    <w:rsid w:val="F7EE15FE"/>
    <w:rsid w:val="F7EE6EC8"/>
    <w:rsid w:val="F7EF9775"/>
    <w:rsid w:val="F7EFBEB7"/>
    <w:rsid w:val="F7EFCEEA"/>
    <w:rsid w:val="F7F33D8A"/>
    <w:rsid w:val="F7F7B35E"/>
    <w:rsid w:val="F7F9B46E"/>
    <w:rsid w:val="F7FB5772"/>
    <w:rsid w:val="F7FCF62C"/>
    <w:rsid w:val="F7FF0395"/>
    <w:rsid w:val="F7FF03CE"/>
    <w:rsid w:val="F7FFAC1C"/>
    <w:rsid w:val="F83F0CF2"/>
    <w:rsid w:val="F8B29F55"/>
    <w:rsid w:val="F8CD4184"/>
    <w:rsid w:val="F8FE22EB"/>
    <w:rsid w:val="F97BE82B"/>
    <w:rsid w:val="F9DCFA61"/>
    <w:rsid w:val="F9DF4997"/>
    <w:rsid w:val="F9EF690E"/>
    <w:rsid w:val="F9EFD842"/>
    <w:rsid w:val="F9F9EE95"/>
    <w:rsid w:val="F9FD2EBE"/>
    <w:rsid w:val="F9FDB16D"/>
    <w:rsid w:val="F9FDCF2C"/>
    <w:rsid w:val="F9FEB2D5"/>
    <w:rsid w:val="F9FFD36E"/>
    <w:rsid w:val="FA550F42"/>
    <w:rsid w:val="FA6FD1C3"/>
    <w:rsid w:val="FA7D13E2"/>
    <w:rsid w:val="FA7F2940"/>
    <w:rsid w:val="FA99D8E0"/>
    <w:rsid w:val="FAA65E9B"/>
    <w:rsid w:val="FAABC67E"/>
    <w:rsid w:val="FAB7FCC9"/>
    <w:rsid w:val="FACBFA4C"/>
    <w:rsid w:val="FADF826C"/>
    <w:rsid w:val="FAEBE88F"/>
    <w:rsid w:val="FB2BF4C1"/>
    <w:rsid w:val="FB3E401A"/>
    <w:rsid w:val="FB66D8F3"/>
    <w:rsid w:val="FB6A1817"/>
    <w:rsid w:val="FB6C9B60"/>
    <w:rsid w:val="FB6F872D"/>
    <w:rsid w:val="FB6FC034"/>
    <w:rsid w:val="FB7AEAA7"/>
    <w:rsid w:val="FB7BE720"/>
    <w:rsid w:val="FB7F6479"/>
    <w:rsid w:val="FB8F5C04"/>
    <w:rsid w:val="FB934687"/>
    <w:rsid w:val="FB9BA2D3"/>
    <w:rsid w:val="FB9F34B0"/>
    <w:rsid w:val="FBB783F0"/>
    <w:rsid w:val="FBBEE233"/>
    <w:rsid w:val="FBDF1528"/>
    <w:rsid w:val="FBEB94F9"/>
    <w:rsid w:val="FBEE72EE"/>
    <w:rsid w:val="FBF13F4C"/>
    <w:rsid w:val="FBF56DA2"/>
    <w:rsid w:val="FBFB8183"/>
    <w:rsid w:val="FBFF9BF1"/>
    <w:rsid w:val="FBFFFA0E"/>
    <w:rsid w:val="FC2B5FBA"/>
    <w:rsid w:val="FC769E28"/>
    <w:rsid w:val="FCBFBEC8"/>
    <w:rsid w:val="FCDF197A"/>
    <w:rsid w:val="FCDF2BFB"/>
    <w:rsid w:val="FCDF9CAB"/>
    <w:rsid w:val="FCE3D5E6"/>
    <w:rsid w:val="FCF2C8DD"/>
    <w:rsid w:val="FCFF4DA8"/>
    <w:rsid w:val="FCFF81B3"/>
    <w:rsid w:val="FD2F9EA8"/>
    <w:rsid w:val="FD3AE5D5"/>
    <w:rsid w:val="FD4FB162"/>
    <w:rsid w:val="FD5A8D31"/>
    <w:rsid w:val="FD5F9303"/>
    <w:rsid w:val="FD8D5AD8"/>
    <w:rsid w:val="FD979796"/>
    <w:rsid w:val="FDA679DF"/>
    <w:rsid w:val="FDACE12A"/>
    <w:rsid w:val="FDB7EB7D"/>
    <w:rsid w:val="FDBA9F92"/>
    <w:rsid w:val="FDBF5480"/>
    <w:rsid w:val="FDC9959B"/>
    <w:rsid w:val="FDCFFDCD"/>
    <w:rsid w:val="FDD75D9C"/>
    <w:rsid w:val="FDD79FF1"/>
    <w:rsid w:val="FDDBAC1B"/>
    <w:rsid w:val="FDDBFF59"/>
    <w:rsid w:val="FDDD3B45"/>
    <w:rsid w:val="FDDF2AA7"/>
    <w:rsid w:val="FDEF75DD"/>
    <w:rsid w:val="FDF3A89F"/>
    <w:rsid w:val="FDF679FA"/>
    <w:rsid w:val="FDF7C43E"/>
    <w:rsid w:val="FDFA6B24"/>
    <w:rsid w:val="FDFDBA54"/>
    <w:rsid w:val="FDFF108D"/>
    <w:rsid w:val="FDFFA3AB"/>
    <w:rsid w:val="FDFFB3F6"/>
    <w:rsid w:val="FDFFE95F"/>
    <w:rsid w:val="FE5EFA0E"/>
    <w:rsid w:val="FE6B863F"/>
    <w:rsid w:val="FE6F4FC8"/>
    <w:rsid w:val="FE753D78"/>
    <w:rsid w:val="FE7DE8C6"/>
    <w:rsid w:val="FE97D66E"/>
    <w:rsid w:val="FEA73565"/>
    <w:rsid w:val="FED8B365"/>
    <w:rsid w:val="FEED6E16"/>
    <w:rsid w:val="FEEE5916"/>
    <w:rsid w:val="FEF6D07A"/>
    <w:rsid w:val="FEF702C3"/>
    <w:rsid w:val="FEFBA0AF"/>
    <w:rsid w:val="FEFBB8FC"/>
    <w:rsid w:val="FEFE35BA"/>
    <w:rsid w:val="FEFFEDF8"/>
    <w:rsid w:val="FF06657E"/>
    <w:rsid w:val="FF343AE5"/>
    <w:rsid w:val="FF3F6DC9"/>
    <w:rsid w:val="FF484619"/>
    <w:rsid w:val="FF5FCE2F"/>
    <w:rsid w:val="FF600A41"/>
    <w:rsid w:val="FF610F2C"/>
    <w:rsid w:val="FF673F33"/>
    <w:rsid w:val="FF68238D"/>
    <w:rsid w:val="FF6EFF72"/>
    <w:rsid w:val="FF778599"/>
    <w:rsid w:val="FF7A2D78"/>
    <w:rsid w:val="FF7EB5D6"/>
    <w:rsid w:val="FF7FC106"/>
    <w:rsid w:val="FF8E5A3E"/>
    <w:rsid w:val="FF8F3DD2"/>
    <w:rsid w:val="FF8FF726"/>
    <w:rsid w:val="FF9B62CD"/>
    <w:rsid w:val="FFAAAD20"/>
    <w:rsid w:val="FFAB7E4D"/>
    <w:rsid w:val="FFBB9ECC"/>
    <w:rsid w:val="FFBBDE41"/>
    <w:rsid w:val="FFBE8FE4"/>
    <w:rsid w:val="FFBEB510"/>
    <w:rsid w:val="FFBFB5AD"/>
    <w:rsid w:val="FFBFBA3A"/>
    <w:rsid w:val="FFC3EF81"/>
    <w:rsid w:val="FFD7018D"/>
    <w:rsid w:val="FFD90C67"/>
    <w:rsid w:val="FFD9B1AE"/>
    <w:rsid w:val="FFDA804C"/>
    <w:rsid w:val="FFDB0201"/>
    <w:rsid w:val="FFDB2F28"/>
    <w:rsid w:val="FFDB3E23"/>
    <w:rsid w:val="FFDD4A66"/>
    <w:rsid w:val="FFDE3F4B"/>
    <w:rsid w:val="FFDE7E00"/>
    <w:rsid w:val="FFDFB90E"/>
    <w:rsid w:val="FFE92678"/>
    <w:rsid w:val="FFE9C59E"/>
    <w:rsid w:val="FFEB2F94"/>
    <w:rsid w:val="FFED1871"/>
    <w:rsid w:val="FFEE501F"/>
    <w:rsid w:val="FFEE71FD"/>
    <w:rsid w:val="FFEEFE92"/>
    <w:rsid w:val="FFEF3DA2"/>
    <w:rsid w:val="FFF3257E"/>
    <w:rsid w:val="FFF34AC8"/>
    <w:rsid w:val="FFF3B7B3"/>
    <w:rsid w:val="FFF61E0F"/>
    <w:rsid w:val="FFF70BF7"/>
    <w:rsid w:val="FFF96364"/>
    <w:rsid w:val="FFFA6939"/>
    <w:rsid w:val="FFFB06D6"/>
    <w:rsid w:val="FFFB1845"/>
    <w:rsid w:val="FFFB3CEC"/>
    <w:rsid w:val="FFFBBDD6"/>
    <w:rsid w:val="FFFD0F91"/>
    <w:rsid w:val="FFFD4A35"/>
    <w:rsid w:val="FFFD845E"/>
    <w:rsid w:val="FFFD8675"/>
    <w:rsid w:val="FFFDA86A"/>
    <w:rsid w:val="FFFDC24D"/>
    <w:rsid w:val="FFFDCFAD"/>
    <w:rsid w:val="FFFDFD71"/>
    <w:rsid w:val="FFFE2F21"/>
    <w:rsid w:val="FFFE4165"/>
    <w:rsid w:val="FFFECA04"/>
    <w:rsid w:val="FFFEE34D"/>
    <w:rsid w:val="FFFF28BF"/>
    <w:rsid w:val="FFFF67B2"/>
    <w:rsid w:val="FFFF88B4"/>
    <w:rsid w:val="FFFF9843"/>
    <w:rsid w:val="FFFFB0E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name="toc 1"/>
    <w:lsdException w:qFormat="1" w:unhideWhenUsed="0" w:uiPriority="99" w:name="toc 2"/>
    <w:lsdException w:qFormat="1" w:unhideWhenUsed="0" w:uiPriority="99"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name="Body Text Indent 2"/>
    <w:lsdException w:qFormat="1" w:unhideWhenUsed="0" w:uiPriority="0" w:semiHidden="0" w:name="Body Text Indent 3"/>
    <w:lsdException w:unhideWhenUsed="0" w:uiPriority="0" w:semiHidden="0" w:name="Block Text"/>
    <w:lsdException w:qFormat="1" w:unhideWhenUsed="0" w:uiPriority="99"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40" w:lineRule="exact"/>
      <w:jc w:val="both"/>
    </w:pPr>
    <w:rPr>
      <w:rFonts w:ascii="Calibri" w:hAnsi="Calibri" w:eastAsia="宋体" w:cs="Times New Roman"/>
      <w:kern w:val="2"/>
      <w:sz w:val="21"/>
      <w:szCs w:val="21"/>
      <w:lang w:val="en-US" w:eastAsia="zh-CN" w:bidi="ar-SA"/>
    </w:rPr>
  </w:style>
  <w:style w:type="paragraph" w:styleId="4">
    <w:name w:val="heading 1"/>
    <w:basedOn w:val="1"/>
    <w:next w:val="1"/>
    <w:link w:val="31"/>
    <w:qFormat/>
    <w:uiPriority w:val="9"/>
    <w:pPr>
      <w:spacing w:beforeAutospacing="1" w:afterAutospacing="1"/>
      <w:jc w:val="left"/>
      <w:outlineLvl w:val="0"/>
    </w:pPr>
    <w:rPr>
      <w:rFonts w:hint="eastAsia" w:ascii="宋体" w:hAnsi="宋体"/>
      <w:b/>
      <w:kern w:val="44"/>
      <w:sz w:val="48"/>
      <w:szCs w:val="48"/>
    </w:rPr>
  </w:style>
  <w:style w:type="paragraph" w:styleId="5">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paragraph" w:styleId="6">
    <w:name w:val="heading 3"/>
    <w:basedOn w:val="1"/>
    <w:next w:val="1"/>
    <w:link w:val="36"/>
    <w:qFormat/>
    <w:uiPriority w:val="99"/>
    <w:pPr>
      <w:keepNext/>
      <w:keepLines/>
      <w:spacing w:before="260" w:after="260" w:line="412" w:lineRule="auto"/>
      <w:ind w:firstLine="200" w:firstLineChars="200"/>
      <w:outlineLvl w:val="2"/>
    </w:pPr>
    <w:rPr>
      <w:b/>
      <w:bCs/>
      <w:kern w:val="0"/>
      <w:sz w:val="32"/>
      <w:szCs w:val="32"/>
    </w:rPr>
  </w:style>
  <w:style w:type="character" w:default="1" w:styleId="23">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semiHidden/>
    <w:qFormat/>
    <w:uiPriority w:val="0"/>
    <w:pPr>
      <w:ind w:firstLine="555"/>
    </w:pPr>
    <w:rPr>
      <w:sz w:val="27"/>
    </w:rPr>
  </w:style>
  <w:style w:type="paragraph" w:styleId="7">
    <w:name w:val="table of authorities"/>
    <w:basedOn w:val="1"/>
    <w:next w:val="1"/>
    <w:semiHidden/>
    <w:qFormat/>
    <w:uiPriority w:val="0"/>
    <w:pPr>
      <w:ind w:left="420" w:leftChars="200"/>
    </w:pPr>
    <w:rPr>
      <w:sz w:val="32"/>
      <w:szCs w:val="32"/>
    </w:rPr>
  </w:style>
  <w:style w:type="paragraph" w:styleId="8">
    <w:name w:val="caption"/>
    <w:basedOn w:val="1"/>
    <w:next w:val="1"/>
    <w:qFormat/>
    <w:uiPriority w:val="0"/>
    <w:rPr>
      <w:rFonts w:ascii="Cambria" w:hAnsi="Cambria" w:eastAsia="黑体"/>
      <w:sz w:val="20"/>
    </w:rPr>
  </w:style>
  <w:style w:type="paragraph" w:styleId="9">
    <w:name w:val="Document Map"/>
    <w:basedOn w:val="1"/>
    <w:link w:val="38"/>
    <w:qFormat/>
    <w:uiPriority w:val="0"/>
    <w:rPr>
      <w:rFonts w:ascii="宋体"/>
      <w:sz w:val="18"/>
      <w:szCs w:val="18"/>
    </w:rPr>
  </w:style>
  <w:style w:type="paragraph" w:styleId="10">
    <w:name w:val="Body Text"/>
    <w:qFormat/>
    <w:uiPriority w:val="1"/>
    <w:pPr>
      <w:widowControl w:val="0"/>
      <w:ind w:left="648"/>
      <w:jc w:val="both"/>
    </w:pPr>
    <w:rPr>
      <w:rFonts w:ascii="宋体" w:hAnsi="宋体" w:eastAsia="宋体" w:cs="宋体"/>
      <w:kern w:val="2"/>
      <w:sz w:val="21"/>
      <w:szCs w:val="21"/>
      <w:lang w:val="zh-CN" w:eastAsia="zh-CN" w:bidi="zh-CN"/>
    </w:rPr>
  </w:style>
  <w:style w:type="paragraph" w:styleId="11">
    <w:name w:val="toc 3"/>
    <w:basedOn w:val="1"/>
    <w:next w:val="1"/>
    <w:semiHidden/>
    <w:qFormat/>
    <w:uiPriority w:val="99"/>
    <w:pPr>
      <w:ind w:left="840"/>
    </w:pPr>
  </w:style>
  <w:style w:type="paragraph" w:styleId="12">
    <w:name w:val="Body Text Indent 2"/>
    <w:basedOn w:val="1"/>
    <w:semiHidden/>
    <w:qFormat/>
    <w:uiPriority w:val="0"/>
    <w:pPr>
      <w:ind w:firstLine="540" w:firstLineChars="200"/>
    </w:pPr>
    <w:rPr>
      <w:sz w:val="27"/>
    </w:rPr>
  </w:style>
  <w:style w:type="paragraph" w:styleId="13">
    <w:name w:val="Balloon Text"/>
    <w:basedOn w:val="1"/>
    <w:link w:val="43"/>
    <w:qFormat/>
    <w:uiPriority w:val="0"/>
    <w:pPr>
      <w:spacing w:line="240" w:lineRule="auto"/>
    </w:pPr>
    <w:rPr>
      <w:sz w:val="18"/>
      <w:szCs w:val="18"/>
    </w:rPr>
  </w:style>
  <w:style w:type="paragraph" w:styleId="14">
    <w:name w:val="footer"/>
    <w:basedOn w:val="1"/>
    <w:unhideWhenUsed/>
    <w:qFormat/>
    <w:uiPriority w:val="99"/>
    <w:pPr>
      <w:tabs>
        <w:tab w:val="center" w:pos="4153"/>
        <w:tab w:val="right" w:pos="8306"/>
      </w:tabs>
      <w:snapToGrid w:val="0"/>
      <w:jc w:val="left"/>
    </w:pPr>
    <w:rPr>
      <w:sz w:val="18"/>
      <w:szCs w:val="18"/>
    </w:rPr>
  </w:style>
  <w:style w:type="paragraph" w:styleId="15">
    <w:name w:val="header"/>
    <w:basedOn w:val="1"/>
    <w:next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semiHidden/>
    <w:qFormat/>
    <w:uiPriority w:val="99"/>
  </w:style>
  <w:style w:type="paragraph" w:styleId="17">
    <w:name w:val="Subtitle"/>
    <w:basedOn w:val="1"/>
    <w:next w:val="1"/>
    <w:link w:val="32"/>
    <w:qFormat/>
    <w:uiPriority w:val="99"/>
    <w:pPr>
      <w:spacing w:before="240" w:after="60" w:line="312" w:lineRule="auto"/>
      <w:ind w:firstLine="200" w:firstLineChars="200"/>
      <w:jc w:val="center"/>
      <w:outlineLvl w:val="1"/>
    </w:pPr>
    <w:rPr>
      <w:rFonts w:eastAsia="黑体"/>
      <w:b/>
      <w:bCs/>
      <w:kern w:val="28"/>
      <w:sz w:val="32"/>
      <w:szCs w:val="32"/>
    </w:rPr>
  </w:style>
  <w:style w:type="paragraph" w:styleId="18">
    <w:name w:val="Body Text Indent 3"/>
    <w:qFormat/>
    <w:uiPriority w:val="0"/>
    <w:pPr>
      <w:widowControl w:val="0"/>
      <w:ind w:firstLine="570"/>
      <w:jc w:val="both"/>
    </w:pPr>
    <w:rPr>
      <w:rFonts w:asciiTheme="minorHAnsi" w:hAnsiTheme="minorHAnsi" w:eastAsiaTheme="minorEastAsia" w:cstheme="minorBidi"/>
      <w:kern w:val="2"/>
      <w:sz w:val="27"/>
      <w:szCs w:val="24"/>
      <w:lang w:val="en-US" w:eastAsia="zh-CN" w:bidi="ar-SA"/>
    </w:rPr>
  </w:style>
  <w:style w:type="paragraph" w:styleId="19">
    <w:name w:val="toc 2"/>
    <w:basedOn w:val="1"/>
    <w:next w:val="1"/>
    <w:semiHidden/>
    <w:qFormat/>
    <w:uiPriority w:val="99"/>
    <w:pPr>
      <w:ind w:left="420"/>
    </w:pPr>
  </w:style>
  <w:style w:type="paragraph" w:styleId="20">
    <w:name w:val="HTML Preformatted"/>
    <w:semiHidden/>
    <w:qFormat/>
    <w:uiPriority w:val="0"/>
    <w:rPr>
      <w:rFonts w:ascii="Arial" w:hAnsi="Arial" w:eastAsia="宋体" w:cs="Times New Roman"/>
      <w:sz w:val="24"/>
      <w:lang w:val="en-US" w:eastAsia="zh-CN" w:bidi="ar-SA"/>
    </w:rPr>
  </w:style>
  <w:style w:type="paragraph" w:styleId="21">
    <w:name w:val="Normal (Web)"/>
    <w:basedOn w:val="1"/>
    <w:qFormat/>
    <w:uiPriority w:val="99"/>
    <w:pPr>
      <w:spacing w:beforeAutospacing="1" w:afterAutospacing="1"/>
      <w:jc w:val="left"/>
    </w:pPr>
    <w:rPr>
      <w:kern w:val="0"/>
      <w:sz w:val="24"/>
    </w:rPr>
  </w:style>
  <w:style w:type="character" w:styleId="24">
    <w:name w:val="Strong"/>
    <w:basedOn w:val="23"/>
    <w:qFormat/>
    <w:uiPriority w:val="0"/>
    <w:rPr>
      <w:b/>
    </w:rPr>
  </w:style>
  <w:style w:type="character" w:styleId="25">
    <w:name w:val="Hyperlink"/>
    <w:semiHidden/>
    <w:qFormat/>
    <w:uiPriority w:val="99"/>
    <w:rPr>
      <w:rFonts w:cs="Times New Roman"/>
      <w:color w:val="0000FF"/>
      <w:u w:val="single"/>
    </w:rPr>
  </w:style>
  <w:style w:type="character" w:customStyle="1" w:styleId="26">
    <w:name w:val="15"/>
    <w:qFormat/>
    <w:uiPriority w:val="0"/>
    <w:rPr>
      <w:rFonts w:hint="default" w:ascii="Times New Roman" w:hAnsi="Times New Roman" w:cs="Times New Roman"/>
    </w:rPr>
  </w:style>
  <w:style w:type="character" w:customStyle="1" w:styleId="27">
    <w:name w:val="bjh-p"/>
    <w:qFormat/>
    <w:uiPriority w:val="99"/>
  </w:style>
  <w:style w:type="paragraph" w:customStyle="1" w:styleId="28">
    <w:name w:val="Body text|1"/>
    <w:basedOn w:val="1"/>
    <w:qFormat/>
    <w:uiPriority w:val="0"/>
    <w:pPr>
      <w:jc w:val="center"/>
    </w:pPr>
    <w:rPr>
      <w:rFonts w:ascii="宋体" w:hAnsi="宋体" w:cs="宋体"/>
      <w:sz w:val="22"/>
      <w:szCs w:val="22"/>
      <w:lang w:val="zh-TW" w:eastAsia="zh-TW" w:bidi="zh-TW"/>
    </w:rPr>
  </w:style>
  <w:style w:type="paragraph" w:customStyle="1" w:styleId="29">
    <w:name w:val="Other|1"/>
    <w:basedOn w:val="1"/>
    <w:qFormat/>
    <w:uiPriority w:val="0"/>
    <w:rPr>
      <w:sz w:val="12"/>
      <w:szCs w:val="12"/>
      <w:lang w:val="zh-TW" w:eastAsia="zh-TW" w:bidi="zh-TW"/>
    </w:rPr>
  </w:style>
  <w:style w:type="paragraph" w:customStyle="1" w:styleId="30">
    <w:name w:val="table of authorities1"/>
    <w:basedOn w:val="1"/>
    <w:next w:val="1"/>
    <w:qFormat/>
    <w:uiPriority w:val="0"/>
    <w:pPr>
      <w:ind w:left="420" w:leftChars="200"/>
    </w:pPr>
    <w:rPr>
      <w:rFonts w:cs="黑体"/>
      <w:sz w:val="32"/>
      <w:szCs w:val="32"/>
    </w:rPr>
  </w:style>
  <w:style w:type="character" w:customStyle="1" w:styleId="31">
    <w:name w:val="标题 1 Char"/>
    <w:link w:val="4"/>
    <w:qFormat/>
    <w:uiPriority w:val="0"/>
    <w:rPr>
      <w:rFonts w:hint="eastAsia" w:ascii="宋体" w:hAnsi="宋体" w:eastAsia="宋体" w:cs="Times New Roman"/>
      <w:b/>
      <w:kern w:val="44"/>
      <w:sz w:val="48"/>
      <w:szCs w:val="48"/>
    </w:rPr>
  </w:style>
  <w:style w:type="character" w:customStyle="1" w:styleId="32">
    <w:name w:val="副标题 Char"/>
    <w:link w:val="17"/>
    <w:qFormat/>
    <w:locked/>
    <w:uiPriority w:val="99"/>
    <w:rPr>
      <w:rFonts w:eastAsia="黑体"/>
      <w:b/>
      <w:bCs/>
      <w:kern w:val="28"/>
      <w:sz w:val="32"/>
      <w:szCs w:val="32"/>
    </w:rPr>
  </w:style>
  <w:style w:type="paragraph" w:customStyle="1" w:styleId="33">
    <w:name w:val="列出段落4"/>
    <w:basedOn w:val="1"/>
    <w:qFormat/>
    <w:uiPriority w:val="0"/>
    <w:pPr>
      <w:widowControl/>
      <w:ind w:firstLine="420"/>
      <w:jc w:val="left"/>
    </w:pPr>
    <w:rPr>
      <w:rFonts w:ascii="宋体" w:hAnsi="宋体" w:cs="宋体"/>
      <w:kern w:val="0"/>
      <w:szCs w:val="24"/>
    </w:rPr>
  </w:style>
  <w:style w:type="paragraph" w:customStyle="1" w:styleId="34">
    <w:name w:val="样式3"/>
    <w:basedOn w:val="1"/>
    <w:qFormat/>
    <w:uiPriority w:val="99"/>
    <w:pPr>
      <w:ind w:firstLine="560"/>
    </w:pPr>
    <w:rPr>
      <w:rFonts w:ascii="Times New Roman" w:hAnsi="Times New Roman"/>
      <w:sz w:val="28"/>
      <w:szCs w:val="28"/>
    </w:rPr>
  </w:style>
  <w:style w:type="paragraph" w:customStyle="1" w:styleId="35">
    <w:name w:val="样式4"/>
    <w:basedOn w:val="1"/>
    <w:qFormat/>
    <w:uiPriority w:val="99"/>
    <w:pPr>
      <w:spacing w:line="360" w:lineRule="auto"/>
      <w:ind w:firstLine="480" w:firstLineChars="200"/>
    </w:pPr>
    <w:rPr>
      <w:sz w:val="24"/>
      <w:szCs w:val="24"/>
    </w:rPr>
  </w:style>
  <w:style w:type="character" w:customStyle="1" w:styleId="36">
    <w:name w:val="标题 3 Char"/>
    <w:link w:val="6"/>
    <w:qFormat/>
    <w:locked/>
    <w:uiPriority w:val="99"/>
    <w:rPr>
      <w:b/>
      <w:bCs/>
      <w:kern w:val="0"/>
      <w:sz w:val="32"/>
      <w:szCs w:val="32"/>
    </w:rPr>
  </w:style>
  <w:style w:type="paragraph" w:customStyle="1" w:styleId="37">
    <w:name w:val="p0"/>
    <w:basedOn w:val="1"/>
    <w:qFormat/>
    <w:uiPriority w:val="99"/>
    <w:rPr>
      <w:rFonts w:ascii="Times New Roman" w:hAnsi="Times New Roman"/>
      <w:kern w:val="0"/>
    </w:rPr>
  </w:style>
  <w:style w:type="character" w:customStyle="1" w:styleId="38">
    <w:name w:val="文档结构图 Char"/>
    <w:basedOn w:val="23"/>
    <w:link w:val="9"/>
    <w:qFormat/>
    <w:uiPriority w:val="0"/>
    <w:rPr>
      <w:rFonts w:ascii="宋体" w:hAnsi="Calibri"/>
      <w:kern w:val="2"/>
      <w:sz w:val="18"/>
      <w:szCs w:val="18"/>
    </w:rPr>
  </w:style>
  <w:style w:type="paragraph" w:customStyle="1" w:styleId="39">
    <w:name w:val="WPSOffice手动目录 1"/>
    <w:qFormat/>
    <w:uiPriority w:val="0"/>
    <w:rPr>
      <w:rFonts w:ascii="Times New Roman" w:hAnsi="Times New Roman" w:eastAsia="宋体" w:cs="Times New Roman"/>
      <w:lang w:val="en-US" w:eastAsia="zh-CN" w:bidi="ar-SA"/>
    </w:rPr>
  </w:style>
  <w:style w:type="paragraph" w:customStyle="1" w:styleId="4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1">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42">
    <w:name w:val="NormalCharacter"/>
    <w:qFormat/>
    <w:uiPriority w:val="0"/>
    <w:rPr>
      <w:rFonts w:ascii="Calibri" w:hAnsi="Calibri" w:eastAsia="宋体" w:cs="Times New Roman"/>
      <w:kern w:val="2"/>
      <w:sz w:val="21"/>
      <w:szCs w:val="24"/>
      <w:lang w:val="en-US" w:eastAsia="zh-CN" w:bidi="ar-SA"/>
    </w:rPr>
  </w:style>
  <w:style w:type="character" w:customStyle="1" w:styleId="43">
    <w:name w:val="批注框文本 Char"/>
    <w:basedOn w:val="23"/>
    <w:link w:val="13"/>
    <w:qFormat/>
    <w:uiPriority w:val="0"/>
    <w:rPr>
      <w:rFonts w:ascii="Calibri" w:hAnsi="Calibri"/>
      <w:kern w:val="2"/>
      <w:sz w:val="18"/>
      <w:szCs w:val="18"/>
    </w:rPr>
  </w:style>
  <w:style w:type="character" w:customStyle="1" w:styleId="44">
    <w:name w:val="font51"/>
    <w:basedOn w:val="23"/>
    <w:qFormat/>
    <w:uiPriority w:val="0"/>
    <w:rPr>
      <w:rFonts w:hint="eastAsia" w:ascii="仿宋_GB2312" w:eastAsia="仿宋_GB2312" w:cs="仿宋_GB2312"/>
      <w:color w:val="000000"/>
      <w:sz w:val="21"/>
      <w:szCs w:val="21"/>
      <w:u w:val="none"/>
    </w:rPr>
  </w:style>
  <w:style w:type="character" w:customStyle="1" w:styleId="45">
    <w:name w:val="font01"/>
    <w:basedOn w:val="23"/>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127</Pages>
  <Words>19074</Words>
  <Characters>19841</Characters>
  <Lines>504</Lines>
  <Paragraphs>142</Paragraphs>
  <TotalTime>2</TotalTime>
  <ScaleCrop>false</ScaleCrop>
  <LinksUpToDate>false</LinksUpToDate>
  <CharactersWithSpaces>19955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2021-10-22T08:29:00Z</dcterms:created>
  <dc:creator>快乐颠峰</dc:creator>
  <cp:lastModifiedBy>chenqianqian</cp:lastModifiedBy>
  <dcterms:modified xsi:type="dcterms:W3CDTF">2025-03-04T08:50:20Z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95C82611E27C4F0195302D9B7BBF1EDF</vt:lpwstr>
  </property>
  <property fmtid="{D5CDD505-2E9C-101B-9397-08002B2CF9AE}" pid="4" name="KSOTemplateDocerSaveRecord">
    <vt:lpwstr>eyJoZGlkIjoiZjEzOTViZjFmMzEyYjY0YmQ3MjRhMjJkMzI3NGJkNmUifQ==</vt:lpwstr>
  </property>
</Properties>
</file>