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napToGrid/>
        <w:spacing w:after="0" w:line="440" w:lineRule="exact"/>
        <w:jc w:val="center"/>
        <w:rPr>
          <w:rFonts w:ascii="方正小标宋简体" w:hAnsi="Calibri" w:eastAsia="方正小标宋简体" w:cs="FZXBSJW--GB1-0"/>
          <w:sz w:val="44"/>
          <w:szCs w:val="44"/>
        </w:rPr>
      </w:pPr>
      <w:bookmarkStart w:id="0" w:name="OLE_LINK1"/>
      <w:r>
        <w:rPr>
          <w:rFonts w:hint="eastAsia" w:ascii="方正小标宋简体" w:hAnsi="Calibri" w:eastAsia="方正小标宋简体" w:cs="FZXBSJW--GB1-0"/>
          <w:sz w:val="44"/>
          <w:szCs w:val="44"/>
        </w:rPr>
        <w:t>重大行政执法决定法制审核目录清单</w:t>
      </w:r>
    </w:p>
    <w:p>
      <w:pPr>
        <w:widowControl w:val="0"/>
        <w:autoSpaceDE w:val="0"/>
        <w:autoSpaceDN w:val="0"/>
        <w:snapToGrid/>
        <w:spacing w:after="0" w:line="440" w:lineRule="exact"/>
        <w:jc w:val="center"/>
        <w:rPr>
          <w:rFonts w:ascii="方正小标宋简体" w:hAnsi="Calibri" w:eastAsia="方正小标宋简体" w:cs="FZXBSJW--GB1-0"/>
          <w:sz w:val="44"/>
          <w:szCs w:val="44"/>
        </w:rPr>
      </w:pPr>
    </w:p>
    <w:tbl>
      <w:tblPr>
        <w:tblStyle w:val="12"/>
        <w:tblW w:w="13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064"/>
        <w:gridCol w:w="1079"/>
        <w:gridCol w:w="1063"/>
        <w:gridCol w:w="2610"/>
        <w:gridCol w:w="1078"/>
        <w:gridCol w:w="1063"/>
        <w:gridCol w:w="1480"/>
        <w:gridCol w:w="2117"/>
        <w:gridCol w:w="1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651" w:type="dxa"/>
            <w:vAlign w:val="top"/>
          </w:tcPr>
          <w:p>
            <w:pPr>
              <w:widowControl w:val="0"/>
              <w:autoSpaceDE w:val="0"/>
              <w:autoSpaceDN w:val="0"/>
              <w:snapToGrid/>
              <w:spacing w:line="500" w:lineRule="exact"/>
              <w:rPr>
                <w:rFonts w:ascii="宋体" w:hAnsi="宋体" w:eastAsia="宋体" w:cs="仿宋_GB2312"/>
                <w:sz w:val="21"/>
                <w:szCs w:val="21"/>
              </w:rPr>
            </w:pPr>
            <w:r>
              <w:rPr>
                <w:rFonts w:hint="eastAsia" w:ascii="宋体" w:hAnsi="宋体" w:eastAsia="宋体" w:cs="仿宋_GB2312"/>
                <w:sz w:val="21"/>
                <w:szCs w:val="21"/>
              </w:rPr>
              <w:t>序号</w:t>
            </w:r>
          </w:p>
        </w:tc>
        <w:tc>
          <w:tcPr>
            <w:tcW w:w="1064" w:type="dxa"/>
            <w:vAlign w:val="top"/>
          </w:tcPr>
          <w:p>
            <w:pPr>
              <w:widowControl w:val="0"/>
              <w:autoSpaceDE w:val="0"/>
              <w:autoSpaceDN w:val="0"/>
              <w:snapToGrid/>
              <w:spacing w:line="500" w:lineRule="exact"/>
              <w:rPr>
                <w:rFonts w:ascii="宋体" w:hAnsi="宋体" w:eastAsia="宋体" w:cs="仿宋_GB2312"/>
                <w:sz w:val="21"/>
                <w:szCs w:val="21"/>
              </w:rPr>
            </w:pPr>
            <w:r>
              <w:rPr>
                <w:rFonts w:hint="eastAsia" w:ascii="宋体" w:hAnsi="宋体" w:eastAsia="宋体" w:cs="仿宋_GB2312"/>
                <w:sz w:val="21"/>
                <w:szCs w:val="21"/>
              </w:rPr>
              <w:t>执法类别</w:t>
            </w:r>
          </w:p>
        </w:tc>
        <w:tc>
          <w:tcPr>
            <w:tcW w:w="1079"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审核项目</w:t>
            </w:r>
          </w:p>
        </w:tc>
        <w:tc>
          <w:tcPr>
            <w:tcW w:w="1063"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承办机构</w:t>
            </w:r>
          </w:p>
        </w:tc>
        <w:tc>
          <w:tcPr>
            <w:tcW w:w="2610"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审核条件</w:t>
            </w:r>
          </w:p>
        </w:tc>
        <w:tc>
          <w:tcPr>
            <w:tcW w:w="1078"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审核依据</w:t>
            </w:r>
          </w:p>
        </w:tc>
        <w:tc>
          <w:tcPr>
            <w:tcW w:w="1063"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审核机构</w:t>
            </w:r>
          </w:p>
        </w:tc>
        <w:tc>
          <w:tcPr>
            <w:tcW w:w="1480"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提交审核材料</w:t>
            </w:r>
          </w:p>
        </w:tc>
        <w:tc>
          <w:tcPr>
            <w:tcW w:w="2117"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审核重点</w:t>
            </w:r>
          </w:p>
        </w:tc>
        <w:tc>
          <w:tcPr>
            <w:tcW w:w="1107" w:type="dxa"/>
            <w:vAlign w:val="center"/>
          </w:tcPr>
          <w:p>
            <w:pPr>
              <w:widowControl w:val="0"/>
              <w:autoSpaceDE w:val="0"/>
              <w:autoSpaceDN w:val="0"/>
              <w:snapToGrid/>
              <w:spacing w:line="500" w:lineRule="exact"/>
              <w:jc w:val="center"/>
              <w:rPr>
                <w:rFonts w:ascii="宋体" w:hAnsi="宋体" w:eastAsia="宋体" w:cs="仿宋_GB2312"/>
                <w:sz w:val="21"/>
                <w:szCs w:val="21"/>
              </w:rPr>
            </w:pPr>
            <w:r>
              <w:rPr>
                <w:rFonts w:hint="eastAsia" w:ascii="宋体" w:hAnsi="宋体" w:eastAsia="宋体" w:cs="仿宋_GB2312"/>
                <w:sz w:val="21"/>
                <w:szCs w:val="21"/>
              </w:rPr>
              <w:t>审核期限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1</w:t>
            </w:r>
          </w:p>
        </w:tc>
        <w:tc>
          <w:tcPr>
            <w:tcW w:w="1064"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行政处罚</w:t>
            </w:r>
          </w:p>
        </w:tc>
        <w:tc>
          <w:tcPr>
            <w:tcW w:w="1079"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适用一般程序作出的行政处罚决定</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w:t>
            </w:r>
            <w:r>
              <w:rPr>
                <w:rFonts w:hint="eastAsia" w:ascii="宋体" w:hAnsi="宋体" w:eastAsia="宋体" w:cs="仿宋_GB2312"/>
                <w:sz w:val="18"/>
                <w:szCs w:val="18"/>
                <w:lang w:eastAsia="zh-CN"/>
              </w:rPr>
              <w:t>各分队</w:t>
            </w:r>
          </w:p>
        </w:tc>
        <w:tc>
          <w:tcPr>
            <w:tcW w:w="2610"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拟对公民、法人或者其他组织处以5000元以上较大数额罚款的</w:t>
            </w:r>
          </w:p>
        </w:tc>
        <w:tc>
          <w:tcPr>
            <w:tcW w:w="1078"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《山西省行政执法自由裁量基准制度》</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市队法制</w:t>
            </w:r>
            <w:r>
              <w:rPr>
                <w:rFonts w:hint="eastAsia" w:ascii="宋体" w:hAnsi="宋体" w:eastAsia="宋体" w:cs="仿宋_GB2312"/>
                <w:sz w:val="18"/>
                <w:szCs w:val="18"/>
                <w:lang w:eastAsia="zh-CN"/>
              </w:rPr>
              <w:t>审核室</w:t>
            </w:r>
          </w:p>
        </w:tc>
        <w:tc>
          <w:tcPr>
            <w:tcW w:w="1480" w:type="dxa"/>
            <w:vMerge w:val="restart"/>
            <w:vAlign w:val="center"/>
          </w:tcPr>
          <w:p>
            <w:pPr>
              <w:shd w:val="clear" w:color="auto" w:fill="FFFFFF"/>
              <w:jc w:val="center"/>
              <w:textAlignment w:val="baseline"/>
              <w:rPr>
                <w:rFonts w:ascii="宋体" w:hAnsi="宋体" w:eastAsia="宋体" w:cs="仿宋_GB2312"/>
                <w:sz w:val="18"/>
                <w:szCs w:val="18"/>
              </w:rPr>
            </w:pPr>
            <w:r>
              <w:rPr>
                <w:rFonts w:hint="eastAsia" w:ascii="宋体" w:hAnsi="宋体" w:eastAsia="宋体" w:cs="仿宋_GB2312"/>
                <w:sz w:val="18"/>
                <w:szCs w:val="18"/>
              </w:rPr>
              <w:t>现场笔录、询问笔录、勘验笔录举报笔录等；视听资料等证据资料；行政强制措施决定书、证据保存清单等；法律依据；听证笔录、评估报告；陈述申辩书等；</w:t>
            </w:r>
          </w:p>
          <w:p>
            <w:pPr>
              <w:shd w:val="clear" w:color="auto" w:fill="FFFFFF"/>
              <w:jc w:val="center"/>
              <w:textAlignment w:val="baseline"/>
              <w:rPr>
                <w:rFonts w:ascii="宋体" w:hAnsi="宋体" w:eastAsia="宋体" w:cs="仿宋_GB2312"/>
                <w:sz w:val="18"/>
                <w:szCs w:val="18"/>
              </w:rPr>
            </w:pPr>
            <w:r>
              <w:rPr>
                <w:rFonts w:hint="eastAsia" w:ascii="宋体" w:hAnsi="宋体" w:eastAsia="宋体" w:cs="仿宋_GB2312"/>
                <w:sz w:val="18"/>
                <w:szCs w:val="18"/>
              </w:rPr>
              <w:t>其他需要提交的材料。</w:t>
            </w:r>
          </w:p>
          <w:p>
            <w:pPr>
              <w:widowControl w:val="0"/>
              <w:autoSpaceDE w:val="0"/>
              <w:autoSpaceDN w:val="0"/>
              <w:snapToGrid/>
              <w:jc w:val="center"/>
              <w:rPr>
                <w:rFonts w:ascii="宋体" w:hAnsi="宋体" w:eastAsia="宋体" w:cs="仿宋_GB2312"/>
                <w:sz w:val="18"/>
                <w:szCs w:val="18"/>
              </w:rPr>
            </w:pPr>
          </w:p>
        </w:tc>
        <w:tc>
          <w:tcPr>
            <w:tcW w:w="2117"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1.执法主体是否合法，执法人员是否具备执法资格；2.主要事实是否清楚，证据是否确凿、充分；3.适用法律、法规、规章是否准确；罚执行裁量基准是否适当；4.程序是否合法，是否充分保障行政相对人权利；</w:t>
            </w:r>
          </w:p>
        </w:tc>
        <w:tc>
          <w:tcPr>
            <w:tcW w:w="1107"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7个工作日（案件复杂或因特殊情况的，经市队负责人批准，可延长5个工作日）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4"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79"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610"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拟做出减轻处罚或按照情节需要加重处罚的决定</w:t>
            </w:r>
          </w:p>
        </w:tc>
        <w:tc>
          <w:tcPr>
            <w:tcW w:w="1078"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中华人民共和国行政处罚法》第二十七条</w:t>
            </w: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480"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117" w:type="dxa"/>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1.有无构成依法从轻或者减轻行政处罚的法律要件；2.需要作出具体规定的，必须在法律规定的给予行政处罚的行为、种类和幅度的范围内；</w:t>
            </w:r>
          </w:p>
        </w:tc>
        <w:tc>
          <w:tcPr>
            <w:tcW w:w="1107" w:type="dxa"/>
            <w:vMerge w:val="continue"/>
            <w:vAlign w:val="center"/>
          </w:tcPr>
          <w:p>
            <w:pPr>
              <w:widowControl w:val="0"/>
              <w:autoSpaceDE w:val="0"/>
              <w:autoSpaceDN w:val="0"/>
              <w:snapToGrid/>
              <w:jc w:val="center"/>
              <w:rPr>
                <w:rFonts w:ascii="宋体" w:hAnsi="宋体" w:eastAsia="宋体" w:cs="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2</w:t>
            </w:r>
          </w:p>
        </w:tc>
        <w:tc>
          <w:tcPr>
            <w:tcW w:w="1064"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行政强制</w:t>
            </w:r>
          </w:p>
        </w:tc>
        <w:tc>
          <w:tcPr>
            <w:tcW w:w="1079" w:type="dxa"/>
            <w:vMerge w:val="restart"/>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依法对公民、法人或者其他组织的财物实施暂时性控制的行为及行政机关对不履行行政决定的公民、法人或者其他组织，依法强制履行义务的行为</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w:t>
            </w:r>
            <w:r>
              <w:rPr>
                <w:rFonts w:hint="eastAsia" w:ascii="宋体" w:hAnsi="宋体" w:eastAsia="宋体" w:cs="仿宋_GB2312"/>
                <w:sz w:val="18"/>
                <w:szCs w:val="18"/>
                <w:lang w:eastAsia="zh-CN"/>
              </w:rPr>
              <w:t>各分</w:t>
            </w:r>
            <w:r>
              <w:rPr>
                <w:rFonts w:hint="eastAsia" w:ascii="宋体" w:hAnsi="宋体" w:eastAsia="宋体" w:cs="仿宋_GB2312"/>
                <w:sz w:val="18"/>
                <w:szCs w:val="18"/>
              </w:rPr>
              <w:t>队</w:t>
            </w:r>
          </w:p>
        </w:tc>
        <w:tc>
          <w:tcPr>
            <w:tcW w:w="2610" w:type="dxa"/>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重大行政强制措施：1.查封公民、法人或者其他组织生产、经营场所；2.查封公民、法人或者其他组织主要生产、经营设施；3.查封、扣押公民财物，标的金额5000元以上的；查封、扣押法人或者其他组织财物，标的金额10万元以上的。</w:t>
            </w:r>
            <w:bookmarkStart w:id="1" w:name="_GoBack"/>
            <w:bookmarkEnd w:id="1"/>
          </w:p>
          <w:p>
            <w:pPr>
              <w:widowControl w:val="0"/>
              <w:autoSpaceDE w:val="0"/>
              <w:autoSpaceDN w:val="0"/>
              <w:snapToGrid/>
              <w:jc w:val="center"/>
              <w:rPr>
                <w:rFonts w:ascii="宋体" w:hAnsi="宋体" w:eastAsia="宋体" w:cs="仿宋_GB2312"/>
                <w:sz w:val="18"/>
                <w:szCs w:val="18"/>
              </w:rPr>
            </w:pPr>
          </w:p>
        </w:tc>
        <w:tc>
          <w:tcPr>
            <w:tcW w:w="1078"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《中华人民共和国</w:t>
            </w:r>
            <w:r>
              <w:rPr>
                <w:rFonts w:hint="eastAsia" w:ascii="宋体" w:hAnsi="宋体" w:eastAsia="宋体" w:cs="仿宋_GB2312"/>
                <w:sz w:val="18"/>
                <w:szCs w:val="18"/>
                <w:lang w:eastAsia="zh-CN"/>
              </w:rPr>
              <w:t>行政</w:t>
            </w:r>
            <w:r>
              <w:rPr>
                <w:rFonts w:hint="eastAsia" w:ascii="宋体" w:hAnsi="宋体" w:eastAsia="宋体" w:cs="仿宋_GB2312"/>
                <w:sz w:val="18"/>
                <w:szCs w:val="18"/>
              </w:rPr>
              <w:t>强制法》第四条、第四十四条、第七十条</w:t>
            </w:r>
          </w:p>
        </w:tc>
        <w:tc>
          <w:tcPr>
            <w:tcW w:w="1063"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市队法制</w:t>
            </w:r>
            <w:r>
              <w:rPr>
                <w:rFonts w:hint="eastAsia" w:ascii="宋体" w:hAnsi="宋体" w:eastAsia="宋体" w:cs="仿宋_GB2312"/>
                <w:sz w:val="18"/>
                <w:szCs w:val="18"/>
                <w:lang w:eastAsia="zh-CN"/>
              </w:rPr>
              <w:t>审核室</w:t>
            </w:r>
          </w:p>
        </w:tc>
        <w:tc>
          <w:tcPr>
            <w:tcW w:w="1480" w:type="dxa"/>
            <w:vMerge w:val="restart"/>
            <w:vAlign w:val="center"/>
          </w:tcPr>
          <w:p>
            <w:pPr>
              <w:shd w:val="clear" w:color="auto" w:fill="FFFFFF"/>
              <w:jc w:val="both"/>
              <w:textAlignment w:val="baseline"/>
              <w:rPr>
                <w:rFonts w:ascii="宋体" w:hAnsi="宋体" w:eastAsia="宋体" w:cs="仿宋_GB2312"/>
                <w:sz w:val="18"/>
                <w:szCs w:val="18"/>
              </w:rPr>
            </w:pPr>
            <w:r>
              <w:rPr>
                <w:rFonts w:hint="eastAsia" w:ascii="宋体" w:hAnsi="宋体" w:eastAsia="宋体" w:cs="仿宋_GB2312"/>
                <w:sz w:val="18"/>
                <w:szCs w:val="18"/>
              </w:rPr>
              <w:t>立案审批表、现场笔录、询问笔录、勘验笔录举报笔录等；视听资料等证据资料；行政强制措施决定书、证据保存清单等；法律依据；听证笔录、评估报告；陈述申辩书等；</w:t>
            </w:r>
          </w:p>
          <w:p>
            <w:pPr>
              <w:shd w:val="clear" w:color="auto" w:fill="FFFFFF"/>
              <w:jc w:val="both"/>
              <w:textAlignment w:val="baseline"/>
              <w:rPr>
                <w:rFonts w:ascii="宋体" w:hAnsi="宋体" w:eastAsia="宋体" w:cs="仿宋_GB2312"/>
                <w:sz w:val="18"/>
                <w:szCs w:val="18"/>
              </w:rPr>
            </w:pPr>
            <w:r>
              <w:rPr>
                <w:rFonts w:hint="eastAsia" w:ascii="宋体" w:hAnsi="宋体" w:eastAsia="宋体" w:cs="仿宋_GB2312"/>
                <w:sz w:val="18"/>
                <w:szCs w:val="18"/>
              </w:rPr>
              <w:t>其他需要提交的材料。</w:t>
            </w:r>
          </w:p>
          <w:p>
            <w:pPr>
              <w:jc w:val="both"/>
              <w:rPr>
                <w:rFonts w:ascii="宋体" w:hAnsi="宋体" w:eastAsia="宋体" w:cs="仿宋_GB2312"/>
                <w:sz w:val="18"/>
                <w:szCs w:val="18"/>
              </w:rPr>
            </w:pPr>
            <w:r>
              <w:rPr>
                <w:rFonts w:hint="eastAsia" w:ascii="宋体" w:hAnsi="宋体" w:eastAsia="宋体" w:cs="仿宋_GB2312"/>
                <w:sz w:val="18"/>
                <w:szCs w:val="18"/>
              </w:rPr>
              <w:t>（1.重大行政强制执行决定调查终结报告；2.重大行政强制执行决定；3.重大行政强制执行决定书代拟稿；4.相关证据材料；5.其它需要提交的材料。）</w:t>
            </w:r>
          </w:p>
          <w:p>
            <w:pPr>
              <w:shd w:val="clear" w:color="auto" w:fill="FFFFFF"/>
              <w:jc w:val="both"/>
              <w:textAlignment w:val="baseline"/>
              <w:rPr>
                <w:rFonts w:ascii="宋体" w:hAnsi="宋体" w:eastAsia="宋体" w:cs="仿宋_GB2312"/>
                <w:sz w:val="18"/>
                <w:szCs w:val="18"/>
              </w:rPr>
            </w:pPr>
          </w:p>
          <w:p>
            <w:pPr>
              <w:widowControl w:val="0"/>
              <w:autoSpaceDE w:val="0"/>
              <w:autoSpaceDN w:val="0"/>
              <w:snapToGrid/>
              <w:jc w:val="both"/>
              <w:rPr>
                <w:rFonts w:ascii="宋体" w:hAnsi="宋体" w:eastAsia="宋体" w:cs="仿宋_GB2312"/>
                <w:sz w:val="18"/>
                <w:szCs w:val="18"/>
              </w:rPr>
            </w:pPr>
          </w:p>
        </w:tc>
        <w:tc>
          <w:tcPr>
            <w:tcW w:w="2117" w:type="dxa"/>
            <w:vMerge w:val="restart"/>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1.公民、法人或者其他组织对行政机关实施行政强制，享有陈述权、申辩权；有权依法申请行政复</w:t>
            </w:r>
          </w:p>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议或者提起行政诉讼；2.行政机关履行行政管理职责，依照法律、法规的规定，实施行政强制措施；3.行政机关在法定职权范围内实施。4.行政强制措施应当由行政机关具备资格的行政执法人员实施，其他人员不得实施。5.行政机关实施行政强制措施应当遵守下列规定：（1）实施前须向行政机关负责人报告并经批准；（2）由两名以上行政执法人员实施，并出示执法身份证件；（3）通知当事人到场；（4）当场告知当事人采取行政强制措施的理由、依据以及当事人依法享有的权利、救济途径；（5）听取当事人的陈述和申辩；（6）法律、法规规定的其他程序。</w:t>
            </w:r>
          </w:p>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1.是否属于重大行政执法决定；2.行政执法机关主体是否合法，行政执法人员是否具备执法资格。3.适用法律、法规、规章是否准确；4.程序是否合法；5.是否有超越本机关职权范围或滥用职权的情形；6.执法文书是否规范、齐备；7.违法行为是否涉嫌犯罪需要移送司法机关；8.其他应当审核的内容。）</w:t>
            </w:r>
          </w:p>
        </w:tc>
        <w:tc>
          <w:tcPr>
            <w:tcW w:w="1107" w:type="dxa"/>
            <w:vMerge w:val="restart"/>
            <w:vAlign w:val="center"/>
          </w:tcPr>
          <w:p>
            <w:pPr>
              <w:widowControl w:val="0"/>
              <w:autoSpaceDE w:val="0"/>
              <w:autoSpaceDN w:val="0"/>
              <w:snapToGrid/>
              <w:jc w:val="center"/>
              <w:rPr>
                <w:rFonts w:ascii="宋体" w:hAnsi="宋体" w:eastAsia="宋体" w:cs="仿宋_GB2312"/>
                <w:sz w:val="18"/>
                <w:szCs w:val="18"/>
              </w:rPr>
            </w:pPr>
            <w:r>
              <w:rPr>
                <w:rFonts w:hint="eastAsia" w:ascii="宋体" w:hAnsi="宋体" w:eastAsia="宋体" w:cs="仿宋_GB2312"/>
                <w:sz w:val="18"/>
                <w:szCs w:val="18"/>
              </w:rPr>
              <w:t>7个工作日（案件复杂或因特殊情况的，经市队负责人批准，可延长5个工作日）</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4"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79" w:type="dxa"/>
            <w:vMerge w:val="continue"/>
            <w:vAlign w:val="center"/>
          </w:tcPr>
          <w:p>
            <w:pPr>
              <w:widowControl w:val="0"/>
              <w:autoSpaceDE w:val="0"/>
              <w:autoSpaceDN w:val="0"/>
              <w:snapToGrid/>
              <w:jc w:val="both"/>
              <w:rPr>
                <w:rFonts w:ascii="宋体" w:hAnsi="宋体" w:eastAsia="宋体" w:cs="仿宋_GB2312"/>
                <w:sz w:val="18"/>
                <w:szCs w:val="18"/>
              </w:rPr>
            </w:pP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610" w:type="dxa"/>
            <w:vAlign w:val="center"/>
          </w:tcPr>
          <w:p>
            <w:pPr>
              <w:widowControl w:val="0"/>
              <w:autoSpaceDE w:val="0"/>
              <w:autoSpaceDN w:val="0"/>
              <w:snapToGrid/>
              <w:jc w:val="both"/>
              <w:rPr>
                <w:rFonts w:ascii="宋体" w:hAnsi="宋体" w:eastAsia="宋体" w:cs="仿宋_GB2312"/>
                <w:sz w:val="18"/>
                <w:szCs w:val="18"/>
              </w:rPr>
            </w:pPr>
            <w:r>
              <w:rPr>
                <w:rFonts w:hint="eastAsia" w:ascii="宋体" w:hAnsi="宋体" w:eastAsia="宋体" w:cs="仿宋_GB2312"/>
                <w:sz w:val="18"/>
                <w:szCs w:val="18"/>
              </w:rPr>
              <w:t>重大行政强制执行：1.拍卖或者依法处理查封的公民、法人或者其他组织生产、经营场所；2.拍卖或者依法处理查封的公民、法人或者其他组织主要生产、经营设施；3.拍卖或者依法处理查封、扣押的公民财物，标的金额5000元以上的；拍卖或者依法处理查封、扣押的法人或者其他组织财物，标的金额10万元以上的；4.强制拆除违法的建筑物、构筑物或者设施等；5.代履行，履行费用5000元以上的。</w:t>
            </w:r>
          </w:p>
          <w:p>
            <w:pPr>
              <w:widowControl w:val="0"/>
              <w:autoSpaceDE w:val="0"/>
              <w:autoSpaceDN w:val="0"/>
              <w:snapToGrid/>
              <w:jc w:val="center"/>
              <w:rPr>
                <w:rFonts w:ascii="宋体" w:hAnsi="宋体" w:eastAsia="宋体" w:cs="仿宋_GB2312"/>
                <w:sz w:val="18"/>
                <w:szCs w:val="18"/>
              </w:rPr>
            </w:pPr>
          </w:p>
        </w:tc>
        <w:tc>
          <w:tcPr>
            <w:tcW w:w="1078"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063"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480" w:type="dxa"/>
            <w:vMerge w:val="continue"/>
            <w:vAlign w:val="center"/>
          </w:tcPr>
          <w:p>
            <w:pPr>
              <w:widowControl w:val="0"/>
              <w:autoSpaceDE w:val="0"/>
              <w:autoSpaceDN w:val="0"/>
              <w:snapToGrid/>
              <w:jc w:val="center"/>
              <w:rPr>
                <w:rFonts w:ascii="宋体" w:hAnsi="宋体" w:eastAsia="宋体" w:cs="仿宋_GB2312"/>
                <w:sz w:val="18"/>
                <w:szCs w:val="18"/>
              </w:rPr>
            </w:pPr>
          </w:p>
        </w:tc>
        <w:tc>
          <w:tcPr>
            <w:tcW w:w="2117" w:type="dxa"/>
            <w:vMerge w:val="continue"/>
            <w:vAlign w:val="center"/>
          </w:tcPr>
          <w:p>
            <w:pPr>
              <w:widowControl w:val="0"/>
              <w:autoSpaceDE w:val="0"/>
              <w:autoSpaceDN w:val="0"/>
              <w:snapToGrid/>
              <w:jc w:val="center"/>
              <w:rPr>
                <w:rFonts w:ascii="宋体" w:hAnsi="宋体" w:eastAsia="宋体" w:cs="仿宋_GB2312"/>
                <w:sz w:val="18"/>
                <w:szCs w:val="18"/>
              </w:rPr>
            </w:pPr>
          </w:p>
        </w:tc>
        <w:tc>
          <w:tcPr>
            <w:tcW w:w="1107" w:type="dxa"/>
            <w:vMerge w:val="continue"/>
            <w:vAlign w:val="center"/>
          </w:tcPr>
          <w:p>
            <w:pPr>
              <w:widowControl w:val="0"/>
              <w:autoSpaceDE w:val="0"/>
              <w:autoSpaceDN w:val="0"/>
              <w:snapToGrid/>
              <w:jc w:val="center"/>
              <w:rPr>
                <w:rFonts w:ascii="宋体" w:hAnsi="宋体" w:eastAsia="宋体" w:cs="仿宋_GB2312"/>
                <w:sz w:val="18"/>
                <w:szCs w:val="18"/>
              </w:rPr>
            </w:pPr>
          </w:p>
        </w:tc>
      </w:tr>
    </w:tbl>
    <w:p>
      <w:pPr>
        <w:widowControl w:val="0"/>
        <w:autoSpaceDE w:val="0"/>
        <w:autoSpaceDN w:val="0"/>
        <w:snapToGrid/>
        <w:spacing w:after="0" w:line="500" w:lineRule="exact"/>
        <w:rPr>
          <w:rFonts w:ascii="仿宋_GB2312" w:hAnsi="Calibri" w:eastAsia="仿宋_GB2312" w:cs="仿宋_GB2312"/>
          <w:sz w:val="32"/>
          <w:szCs w:val="32"/>
        </w:rPr>
      </w:pPr>
    </w:p>
    <w:p>
      <w:pPr>
        <w:spacing w:line="600" w:lineRule="exact"/>
        <w:rPr>
          <w:rFonts w:ascii="仿宋_GB2312" w:hAnsi="方正小标宋简体" w:eastAsia="仿宋_GB2312" w:cs="方正小标宋简体"/>
          <w:kern w:val="2"/>
          <w:sz w:val="32"/>
          <w:szCs w:val="32"/>
        </w:rPr>
      </w:pPr>
    </w:p>
    <w:sectPr>
      <w:footerReference r:id="rId3" w:type="default"/>
      <w:pgSz w:w="16838" w:h="11906" w:orient="landscape"/>
      <w:pgMar w:top="1474" w:right="1871" w:bottom="1587" w:left="1871" w:header="851" w:footer="1417"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黑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r>
      <w:rPr>
        <w:rFonts w:ascii="Tahoma" w:hAnsi="Tahoma" w:eastAsia="微软雅黑"/>
        <w:sz w:val="18"/>
        <w:szCs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ascii="宋体"/>
                              <w:sz w:val="28"/>
                            </w:rPr>
                          </w:pPr>
                          <w:r>
                            <w:rPr>
                              <w:rFonts w:ascii="宋体" w:hAnsi="宋体"/>
                              <w:color w:val="FFFFFF"/>
                              <w:sz w:val="28"/>
                            </w:rPr>
                            <w:t>—</w:t>
                          </w:r>
                          <w:r>
                            <w:rPr>
                              <w:rFonts w:ascii="宋体" w:hAnsi="宋体"/>
                              <w:sz w:val="28"/>
                            </w:rPr>
                            <w:t xml:space="preserve">— </w:t>
                          </w:r>
                          <w:r>
                            <w:rPr>
                              <w:rFonts w:ascii="宋体" w:hAnsi="宋体"/>
                              <w:sz w:val="28"/>
                            </w:rPr>
                            <w:fldChar w:fldCharType="begin"/>
                          </w:r>
                          <w:r>
                            <w:rPr>
                              <w:rFonts w:ascii="宋体" w:hAnsi="宋体"/>
                              <w:sz w:val="28"/>
                            </w:rPr>
                            <w:instrText xml:space="preserve">PAGE  </w:instrText>
                          </w:r>
                          <w:r>
                            <w:rPr>
                              <w:rFonts w:ascii="宋体" w:hAnsi="宋体"/>
                              <w:sz w:val="28"/>
                            </w:rPr>
                            <w:fldChar w:fldCharType="separate"/>
                          </w:r>
                          <w:r>
                            <w:rPr>
                              <w:rFonts w:ascii="宋体" w:hAnsi="宋体"/>
                              <w:sz w:val="28"/>
                            </w:rPr>
                            <w:t>1</w:t>
                          </w:r>
                          <w:r>
                            <w:rPr>
                              <w:rFonts w:ascii="宋体" w:hAnsi="宋体"/>
                              <w:sz w:val="28"/>
                            </w:rPr>
                            <w:fldChar w:fldCharType="end"/>
                          </w:r>
                          <w:r>
                            <w:rPr>
                              <w:rFonts w:ascii="宋体" w:hAnsi="宋体"/>
                              <w:sz w:val="28"/>
                            </w:rPr>
                            <w:t xml:space="preserve"> —</w:t>
                          </w:r>
                          <w:r>
                            <w:rPr>
                              <w:rFonts w:ascii="宋体" w:hAnsi="宋体"/>
                              <w:color w:val="FFFFFF"/>
                              <w:sz w:val="28"/>
                            </w:rPr>
                            <w:t>—</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fill on="f" focussize="0,0"/>
              <v:stroke on="f"/>
              <v:imagedata o:title=""/>
              <o:lock v:ext="edit" aspectratio="f"/>
              <v:textbox inset="0mm,0mm,0mm,0mm" style="mso-fit-shape-to-text:t;">
                <w:txbxContent>
                  <w:p>
                    <w:pPr>
                      <w:pStyle w:val="6"/>
                      <w:rPr>
                        <w:rFonts w:ascii="宋体"/>
                        <w:sz w:val="28"/>
                      </w:rPr>
                    </w:pPr>
                    <w:r>
                      <w:rPr>
                        <w:rFonts w:ascii="宋体" w:hAnsi="宋体"/>
                        <w:color w:val="FFFFFF"/>
                        <w:sz w:val="28"/>
                      </w:rPr>
                      <w:t>—</w:t>
                    </w:r>
                    <w:r>
                      <w:rPr>
                        <w:rFonts w:ascii="宋体" w:hAnsi="宋体"/>
                        <w:sz w:val="28"/>
                      </w:rPr>
                      <w:t xml:space="preserve">— </w:t>
                    </w:r>
                    <w:r>
                      <w:rPr>
                        <w:rFonts w:ascii="宋体" w:hAnsi="宋体"/>
                        <w:sz w:val="28"/>
                      </w:rPr>
                      <w:fldChar w:fldCharType="begin"/>
                    </w:r>
                    <w:r>
                      <w:rPr>
                        <w:rFonts w:ascii="宋体" w:hAnsi="宋体"/>
                        <w:sz w:val="28"/>
                      </w:rPr>
                      <w:instrText xml:space="preserve">PAGE  </w:instrText>
                    </w:r>
                    <w:r>
                      <w:rPr>
                        <w:rFonts w:ascii="宋体" w:hAnsi="宋体"/>
                        <w:sz w:val="28"/>
                      </w:rPr>
                      <w:fldChar w:fldCharType="separate"/>
                    </w:r>
                    <w:r>
                      <w:rPr>
                        <w:rFonts w:ascii="宋体" w:hAnsi="宋体"/>
                        <w:sz w:val="28"/>
                      </w:rPr>
                      <w:t>1</w:t>
                    </w:r>
                    <w:r>
                      <w:rPr>
                        <w:rFonts w:ascii="宋体" w:hAnsi="宋体"/>
                        <w:sz w:val="28"/>
                      </w:rPr>
                      <w:fldChar w:fldCharType="end"/>
                    </w:r>
                    <w:r>
                      <w:rPr>
                        <w:rFonts w:ascii="宋体" w:hAnsi="宋体"/>
                        <w:sz w:val="28"/>
                      </w:rPr>
                      <w:t xml:space="preserve"> —</w:t>
                    </w:r>
                    <w:r>
                      <w:rPr>
                        <w:rFonts w:ascii="宋体" w:hAnsi="宋体"/>
                        <w:color w:val="FFFFFF"/>
                        <w:sz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displayVerticalDrawingGridEvery w:val="1"/>
  <w:characterSpacingControl w:val="doNotCompress"/>
  <w:hdrShapeDefaults>
    <o:shapelayout v:ext="edit">
      <o:idmap v:ext="edit" data="2"/>
    </o:shapelayout>
  </w:hdrShapeDefaults>
  <w:compat>
    <w:spaceForUL/>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B008F6"/>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imes New Roman"/>
      <w:sz w:val="22"/>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qFormat/>
    <w:uiPriority w:val="9"/>
    <w:pPr>
      <w:adjustRightInd/>
      <w:snapToGrid/>
      <w:spacing w:before="100" w:beforeAutospacing="1" w:after="100" w:afterAutospacing="1"/>
      <w:outlineLvl w:val="1"/>
    </w:pPr>
    <w:rPr>
      <w:rFonts w:ascii="宋体" w:hAnsi="宋体" w:eastAsia="宋体" w:cs="宋体"/>
      <w:b/>
      <w:bCs/>
      <w:sz w:val="36"/>
      <w:szCs w:val="36"/>
    </w:rPr>
  </w:style>
  <w:style w:type="paragraph" w:styleId="4">
    <w:name w:val="heading 3"/>
    <w:basedOn w:val="1"/>
    <w:next w:val="1"/>
    <w:link w:val="17"/>
    <w:unhideWhenUsed/>
    <w:qFormat/>
    <w:uiPriority w:val="9"/>
    <w:pPr>
      <w:keepNext/>
      <w:keepLines/>
      <w:spacing w:before="260" w:after="260" w:line="416" w:lineRule="auto"/>
      <w:outlineLvl w:val="2"/>
    </w:pPr>
    <w:rPr>
      <w:b/>
      <w:bCs/>
      <w:sz w:val="32"/>
      <w:szCs w:val="32"/>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5">
    <w:name w:val="Balloon Text"/>
    <w:basedOn w:val="1"/>
    <w:link w:val="20"/>
    <w:unhideWhenUsed/>
    <w:uiPriority w:val="99"/>
    <w:pPr>
      <w:spacing w:after="0"/>
    </w:pPr>
    <w:rPr>
      <w:sz w:val="18"/>
      <w:szCs w:val="18"/>
    </w:rPr>
  </w:style>
  <w:style w:type="paragraph" w:styleId="6">
    <w:name w:val="footer"/>
    <w:basedOn w:val="1"/>
    <w:link w:val="22"/>
    <w:unhideWhenUsed/>
    <w:qFormat/>
    <w:uiPriority w:val="0"/>
    <w:pPr>
      <w:tabs>
        <w:tab w:val="center" w:pos="4153"/>
        <w:tab w:val="right" w:pos="8306"/>
      </w:tabs>
    </w:pPr>
    <w:rPr>
      <w:sz w:val="18"/>
      <w:szCs w:val="18"/>
    </w:rPr>
  </w:style>
  <w:style w:type="paragraph" w:styleId="7">
    <w:name w:val="header"/>
    <w:basedOn w:val="1"/>
    <w:link w:val="21"/>
    <w:unhideWhenUsed/>
    <w:uiPriority w:val="99"/>
    <w:pPr>
      <w:pBdr>
        <w:bottom w:val="single" w:color="auto" w:sz="6" w:space="1"/>
      </w:pBdr>
      <w:tabs>
        <w:tab w:val="center" w:pos="4153"/>
        <w:tab w:val="right" w:pos="8306"/>
      </w:tabs>
      <w:jc w:val="center"/>
    </w:pPr>
    <w:rPr>
      <w:sz w:val="18"/>
      <w:szCs w:val="18"/>
    </w:rPr>
  </w:style>
  <w:style w:type="paragraph" w:styleId="8">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10">
    <w:name w:val="Strong"/>
    <w:basedOn w:val="9"/>
    <w:qFormat/>
    <w:uiPriority w:val="22"/>
    <w:rPr>
      <w:b/>
      <w:bCs/>
    </w:rPr>
  </w:style>
  <w:style w:type="character" w:styleId="11">
    <w:name w:val="Hyperlink"/>
    <w:basedOn w:val="9"/>
    <w:unhideWhenUsed/>
    <w:uiPriority w:val="99"/>
    <w:rPr>
      <w:color w:val="0000FF"/>
      <w:u w:val="single"/>
    </w:rPr>
  </w:style>
  <w:style w:type="paragraph" w:customStyle="1" w:styleId="13">
    <w:name w:val="summary"/>
    <w:basedOn w:val="1"/>
    <w:uiPriority w:val="0"/>
    <w:pPr>
      <w:adjustRightInd/>
      <w:snapToGrid/>
      <w:spacing w:before="100" w:beforeAutospacing="1" w:after="100" w:afterAutospacing="1"/>
    </w:pPr>
    <w:rPr>
      <w:rFonts w:ascii="宋体" w:hAnsi="宋体" w:eastAsia="宋体" w:cs="宋体"/>
      <w:sz w:val="24"/>
      <w:szCs w:val="24"/>
    </w:rPr>
  </w:style>
  <w:style w:type="paragraph" w:customStyle="1" w:styleId="14">
    <w:name w:val="List Paragraph"/>
    <w:basedOn w:val="1"/>
    <w:qFormat/>
    <w:uiPriority w:val="34"/>
    <w:pPr>
      <w:ind w:firstLine="420" w:firstLineChars="200"/>
    </w:pPr>
  </w:style>
  <w:style w:type="character" w:customStyle="1" w:styleId="15">
    <w:name w:val="标题 2 Char Char"/>
    <w:basedOn w:val="9"/>
    <w:link w:val="3"/>
    <w:uiPriority w:val="9"/>
    <w:rPr>
      <w:rFonts w:ascii="宋体" w:hAnsi="宋体" w:eastAsia="宋体" w:cs="宋体"/>
      <w:b/>
      <w:bCs/>
      <w:sz w:val="36"/>
      <w:szCs w:val="36"/>
    </w:rPr>
  </w:style>
  <w:style w:type="character" w:customStyle="1" w:styleId="16">
    <w:name w:val="grey"/>
    <w:basedOn w:val="9"/>
    <w:uiPriority w:val="0"/>
  </w:style>
  <w:style w:type="character" w:customStyle="1" w:styleId="17">
    <w:name w:val="标题 3 Char Char"/>
    <w:basedOn w:val="9"/>
    <w:link w:val="4"/>
    <w:qFormat/>
    <w:uiPriority w:val="9"/>
    <w:rPr>
      <w:rFonts w:ascii="Tahoma" w:hAnsi="Tahoma"/>
      <w:b/>
      <w:bCs/>
      <w:sz w:val="32"/>
      <w:szCs w:val="32"/>
    </w:rPr>
  </w:style>
  <w:style w:type="character" w:customStyle="1" w:styleId="18">
    <w:name w:val="p_r201"/>
    <w:basedOn w:val="9"/>
    <w:qFormat/>
    <w:uiPriority w:val="0"/>
  </w:style>
  <w:style w:type="character" w:customStyle="1" w:styleId="19">
    <w:name w:val="标题 1 Char Char"/>
    <w:basedOn w:val="9"/>
    <w:link w:val="2"/>
    <w:uiPriority w:val="9"/>
    <w:rPr>
      <w:rFonts w:ascii="Tahoma" w:hAnsi="Tahoma"/>
      <w:b/>
      <w:bCs/>
      <w:kern w:val="44"/>
      <w:sz w:val="44"/>
      <w:szCs w:val="44"/>
    </w:rPr>
  </w:style>
  <w:style w:type="character" w:customStyle="1" w:styleId="20">
    <w:name w:val="批注框文本 Char Char"/>
    <w:basedOn w:val="9"/>
    <w:link w:val="5"/>
    <w:uiPriority w:val="99"/>
    <w:rPr>
      <w:rFonts w:ascii="Tahoma" w:hAnsi="Tahoma"/>
      <w:sz w:val="18"/>
      <w:szCs w:val="18"/>
    </w:rPr>
  </w:style>
  <w:style w:type="character" w:customStyle="1" w:styleId="21">
    <w:name w:val="页眉 Char Char"/>
    <w:basedOn w:val="9"/>
    <w:link w:val="7"/>
    <w:qFormat/>
    <w:uiPriority w:val="99"/>
    <w:rPr>
      <w:rFonts w:ascii="Tahoma" w:hAnsi="Tahoma"/>
      <w:sz w:val="18"/>
      <w:szCs w:val="18"/>
    </w:rPr>
  </w:style>
  <w:style w:type="character" w:customStyle="1" w:styleId="22">
    <w:name w:val="页脚 Char Char"/>
    <w:basedOn w:val="9"/>
    <w:link w:val="6"/>
    <w:uiPriority w:val="0"/>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1447</Words>
  <Characters>1493</Characters>
  <Lines>11</Lines>
  <Paragraphs>3</Paragraphs>
  <ScaleCrop>false</ScaleCrop>
  <LinksUpToDate>false</LinksUpToDate>
  <CharactersWithSpaces>1493</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2019-12-01T09:15:00Z</cp:lastPrinted>
  <dcterms:modified xsi:type="dcterms:W3CDTF">2025-04-23T07:17:20Z</dcterms:modified>
  <dc:title>重大行政执法决定法制审核目录清单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